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5F" w:rsidRPr="0044534B" w:rsidRDefault="0096496C" w:rsidP="002D2B46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Hlk500494623"/>
      <w:bookmarkStart w:id="1" w:name="_GoBack"/>
      <w:bookmarkEnd w:id="1"/>
      <w:r w:rsidRPr="0044534B">
        <w:rPr>
          <w:rFonts w:ascii="Times New Roman" w:eastAsia="新細明體" w:hAnsi="Times New Roman" w:cs="Times New Roman" w:hint="eastAsia"/>
          <w:b/>
          <w:sz w:val="40"/>
        </w:rPr>
        <w:t>經濟部推動綠色貿易專案辦公室</w:t>
      </w:r>
    </w:p>
    <w:p w:rsidR="001D315F" w:rsidRPr="0044534B" w:rsidRDefault="0096496C" w:rsidP="002D2B46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44534B">
        <w:rPr>
          <w:rFonts w:ascii="Times New Roman" w:eastAsia="新細明體" w:hAnsi="Times New Roman" w:cs="Times New Roman" w:hint="eastAsia"/>
          <w:b/>
          <w:sz w:val="40"/>
        </w:rPr>
        <w:t>商情處理單</w:t>
      </w:r>
    </w:p>
    <w:p w:rsidR="001D315F" w:rsidRPr="0044534B" w:rsidRDefault="0096496C" w:rsidP="0030265C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44534B">
        <w:rPr>
          <w:rFonts w:ascii="Times New Roman" w:eastAsia="新細明體" w:hAnsi="Times New Roman" w:cs="Times New Roman" w:hint="eastAsia"/>
          <w:szCs w:val="24"/>
        </w:rPr>
        <w:t>所搜集商情資訊將刊登於</w:t>
      </w:r>
      <w:hyperlink r:id="rId7" w:history="1">
        <w:r w:rsidRPr="0044534B">
          <w:rPr>
            <w:rStyle w:val="a4"/>
            <w:rFonts w:ascii="Times New Roman" w:eastAsia="新細明體" w:hAnsi="Times New Roman" w:cs="Times New Roman" w:hint="eastAsia"/>
            <w:szCs w:val="24"/>
          </w:rPr>
          <w:t>綠色貿易資訊網</w:t>
        </w:r>
      </w:hyperlink>
      <w:r w:rsidRPr="0044534B">
        <w:rPr>
          <w:rFonts w:ascii="Times New Roman" w:eastAsia="新細明體" w:hAnsi="Times New Roman" w:cs="Times New Roman" w:hint="eastAsia"/>
          <w:szCs w:val="24"/>
        </w:rPr>
        <w:t>項下</w:t>
      </w:r>
      <w:hyperlink r:id="rId8" w:history="1">
        <w:r w:rsidRPr="0044534B">
          <w:rPr>
            <w:rStyle w:val="a4"/>
            <w:rFonts w:ascii="Times New Roman" w:eastAsia="新細明體" w:hAnsi="Times New Roman" w:cs="Times New Roman" w:hint="eastAsia"/>
            <w:szCs w:val="24"/>
          </w:rPr>
          <w:t>國際商情</w:t>
        </w:r>
      </w:hyperlink>
      <w:r w:rsidRPr="0044534B">
        <w:rPr>
          <w:rFonts w:ascii="Times New Roman" w:eastAsia="新細明體" w:hAnsi="Times New Roman" w:cs="Times New Roman" w:hint="eastAsia"/>
          <w:szCs w:val="24"/>
        </w:rPr>
        <w:t>專區，爰請貴中心回傳商情時協助填寫以下欄位，俾利後臺上稿作業，謝謝您的合作。</w:t>
      </w:r>
      <w:r w:rsidR="001D315F" w:rsidRPr="0044534B">
        <w:rPr>
          <w:rFonts w:ascii="Times New Roman" w:eastAsia="標楷體" w:hAnsi="Times New Roman" w:cs="Times New Roman"/>
          <w:szCs w:val="24"/>
        </w:rPr>
        <w:t xml:space="preserve"> </w:t>
      </w:r>
    </w:p>
    <w:p w:rsidR="001D315F" w:rsidRPr="0044534B" w:rsidRDefault="0096496C" w:rsidP="0030265C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44534B">
        <w:rPr>
          <w:rFonts w:ascii="Times New Roman" w:eastAsia="新細明體" w:hAnsi="Times New Roman" w:cs="Times New Roman" w:hint="eastAsia"/>
          <w:color w:val="FF0000"/>
          <w:szCs w:val="28"/>
        </w:rPr>
        <w:t>＊為必填欄位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510"/>
        <w:gridCol w:w="1753"/>
        <w:gridCol w:w="6526"/>
      </w:tblGrid>
      <w:tr w:rsidR="001D315F" w:rsidRPr="0044534B" w:rsidTr="003C75CB">
        <w:trPr>
          <w:jc w:val="center"/>
        </w:trPr>
        <w:tc>
          <w:tcPr>
            <w:tcW w:w="510" w:type="dxa"/>
            <w:shd w:val="clear" w:color="auto" w:fill="D0CECE" w:themeFill="background2" w:themeFillShade="E6"/>
            <w:vAlign w:val="center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/>
                <w:b/>
                <w:szCs w:val="28"/>
              </w:rPr>
              <w:t>No</w:t>
            </w:r>
          </w:p>
        </w:tc>
        <w:tc>
          <w:tcPr>
            <w:tcW w:w="1753" w:type="dxa"/>
            <w:shd w:val="clear" w:color="auto" w:fill="D0CECE" w:themeFill="background2" w:themeFillShade="E6"/>
            <w:vAlign w:val="center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b/>
                <w:szCs w:val="28"/>
              </w:rPr>
              <w:t>功能變數名稱</w:t>
            </w:r>
          </w:p>
        </w:tc>
        <w:tc>
          <w:tcPr>
            <w:tcW w:w="6526" w:type="dxa"/>
            <w:shd w:val="clear" w:color="auto" w:fill="D0CECE" w:themeFill="background2" w:themeFillShade="E6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b/>
                <w:szCs w:val="28"/>
              </w:rPr>
              <w:t>欄位內容說明</w:t>
            </w:r>
          </w:p>
        </w:tc>
      </w:tr>
      <w:tr w:rsidR="001D315F" w:rsidRPr="0044534B" w:rsidTr="003C75CB">
        <w:trPr>
          <w:jc w:val="center"/>
        </w:trPr>
        <w:tc>
          <w:tcPr>
            <w:tcW w:w="510" w:type="dxa"/>
            <w:vAlign w:val="center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/>
                <w:b/>
                <w:szCs w:val="28"/>
              </w:rPr>
              <w:t>1</w:t>
            </w:r>
          </w:p>
        </w:tc>
        <w:tc>
          <w:tcPr>
            <w:tcW w:w="1753" w:type="dxa"/>
            <w:vAlign w:val="center"/>
          </w:tcPr>
          <w:p w:rsidR="001D315F" w:rsidRPr="00463613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63613">
              <w:rPr>
                <w:rFonts w:ascii="Times New Roman" w:eastAsia="新細明體" w:hAnsi="Times New Roman" w:cs="Times New Roman" w:hint="eastAsia"/>
                <w:b/>
                <w:szCs w:val="28"/>
              </w:rPr>
              <w:t>標題</w:t>
            </w:r>
            <w:r w:rsidRPr="00463613">
              <w:rPr>
                <w:rFonts w:ascii="Times New Roman" w:eastAsia="新細明體" w:hAnsi="Times New Roman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6526" w:type="dxa"/>
            <w:vAlign w:val="center"/>
          </w:tcPr>
          <w:p w:rsidR="001D315F" w:rsidRPr="004114FC" w:rsidRDefault="00DA55D2" w:rsidP="004114FC">
            <w:r w:rsidRPr="004114FC">
              <w:rPr>
                <w:rFonts w:hint="eastAsia"/>
              </w:rPr>
              <w:t>新能源車大量普及</w:t>
            </w:r>
            <w:r w:rsidRPr="004114FC">
              <w:t xml:space="preserve"> </w:t>
            </w:r>
            <w:r w:rsidRPr="004114FC">
              <w:rPr>
                <w:rFonts w:hint="eastAsia"/>
              </w:rPr>
              <w:t>正在抑制石油消耗</w:t>
            </w:r>
          </w:p>
        </w:tc>
      </w:tr>
      <w:tr w:rsidR="001D315F" w:rsidRPr="0044534B" w:rsidTr="003C75CB">
        <w:trPr>
          <w:jc w:val="center"/>
        </w:trPr>
        <w:tc>
          <w:tcPr>
            <w:tcW w:w="510" w:type="dxa"/>
            <w:vAlign w:val="center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/>
                <w:b/>
                <w:szCs w:val="28"/>
              </w:rPr>
              <w:t>2</w:t>
            </w:r>
          </w:p>
        </w:tc>
        <w:tc>
          <w:tcPr>
            <w:tcW w:w="1753" w:type="dxa"/>
            <w:vAlign w:val="center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b/>
                <w:szCs w:val="28"/>
              </w:rPr>
              <w:t>國家區域</w:t>
            </w:r>
            <w:r w:rsidRPr="0044534B">
              <w:rPr>
                <w:rFonts w:ascii="Times New Roman" w:eastAsia="新細明體" w:hAnsi="Times New Roman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6526" w:type="dxa"/>
          </w:tcPr>
          <w:p w:rsidR="001D315F" w:rsidRPr="0044534B" w:rsidRDefault="00724D9F" w:rsidP="0030265C">
            <w:pPr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Cs w:val="28"/>
              </w:rPr>
              <w:t>中國</w:t>
            </w:r>
            <w:r w:rsidR="0096496C" w:rsidRPr="0044534B">
              <w:rPr>
                <w:rFonts w:ascii="Times New Roman" w:eastAsia="新細明體" w:hAnsi="Times New Roman" w:cs="Times New Roman" w:hint="eastAsia"/>
                <w:szCs w:val="28"/>
              </w:rPr>
              <w:t>大陸</w:t>
            </w:r>
          </w:p>
        </w:tc>
      </w:tr>
      <w:tr w:rsidR="001D315F" w:rsidRPr="0044534B" w:rsidTr="003C75CB">
        <w:trPr>
          <w:jc w:val="center"/>
        </w:trPr>
        <w:tc>
          <w:tcPr>
            <w:tcW w:w="510" w:type="dxa"/>
            <w:vAlign w:val="center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/>
                <w:b/>
                <w:szCs w:val="28"/>
              </w:rPr>
              <w:t>3</w:t>
            </w:r>
          </w:p>
        </w:tc>
        <w:tc>
          <w:tcPr>
            <w:tcW w:w="1753" w:type="dxa"/>
            <w:vAlign w:val="center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b/>
                <w:szCs w:val="28"/>
              </w:rPr>
              <w:t>資訊類別</w:t>
            </w:r>
            <w:r w:rsidRPr="0044534B">
              <w:rPr>
                <w:rFonts w:ascii="Times New Roman" w:eastAsia="新細明體" w:hAnsi="Times New Roman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6526" w:type="dxa"/>
          </w:tcPr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color w:val="FF0000"/>
                <w:szCs w:val="28"/>
              </w:rPr>
              <w:t>說明：此為後臺分類選項，請勾選商情之資訊類別：</w:t>
            </w:r>
          </w:p>
          <w:p w:rsidR="001D315F" w:rsidRPr="0044534B" w:rsidRDefault="00C06224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</w:t>
            </w:r>
            <w:r w:rsidR="0096496C" w:rsidRPr="0044534B">
              <w:rPr>
                <w:rFonts w:ascii="Times New Roman" w:eastAsia="新細明體" w:hAnsi="Times New Roman" w:cs="Times New Roman" w:hint="eastAsia"/>
                <w:szCs w:val="28"/>
              </w:rPr>
              <w:t>綠色認證資訊</w:t>
            </w:r>
          </w:p>
          <w:p w:rsidR="001D315F" w:rsidRPr="0044534B" w:rsidRDefault="00C06224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</w:t>
            </w:r>
            <w:r w:rsidR="0096496C" w:rsidRPr="0044534B">
              <w:rPr>
                <w:rFonts w:ascii="Times New Roman" w:eastAsia="新細明體" w:hAnsi="Times New Roman" w:cs="Times New Roman" w:hint="eastAsia"/>
                <w:szCs w:val="28"/>
              </w:rPr>
              <w:t>綠色商機交換</w:t>
            </w:r>
          </w:p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□綠色技術新知</w:t>
            </w:r>
          </w:p>
          <w:p w:rsidR="001D315F" w:rsidRPr="0044534B" w:rsidRDefault="00C06224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SimSun" w:hAnsi="Times New Roman" w:cs="Times New Roman"/>
                <w:szCs w:val="28"/>
              </w:rPr>
              <w:sym w:font="Wingdings 2" w:char="F052"/>
            </w:r>
            <w:r w:rsidR="0096496C" w:rsidRPr="0044534B">
              <w:rPr>
                <w:rFonts w:ascii="Times New Roman" w:eastAsia="新細明體" w:hAnsi="Times New Roman" w:cs="Times New Roman" w:hint="eastAsia"/>
                <w:szCs w:val="28"/>
              </w:rPr>
              <w:t>企業綠色資訊</w:t>
            </w:r>
          </w:p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□企業綠色採購</w:t>
            </w:r>
          </w:p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□政府綠色採購</w:t>
            </w:r>
          </w:p>
          <w:p w:rsidR="001D315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□國際綠色新證</w:t>
            </w:r>
          </w:p>
        </w:tc>
      </w:tr>
      <w:tr w:rsidR="009216BF" w:rsidRPr="0044534B" w:rsidTr="003C75CB">
        <w:trPr>
          <w:jc w:val="center"/>
        </w:trPr>
        <w:tc>
          <w:tcPr>
            <w:tcW w:w="510" w:type="dxa"/>
            <w:vAlign w:val="center"/>
          </w:tcPr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/>
                <w:b/>
                <w:szCs w:val="28"/>
              </w:rPr>
              <w:t>4</w:t>
            </w:r>
          </w:p>
        </w:tc>
        <w:tc>
          <w:tcPr>
            <w:tcW w:w="1753" w:type="dxa"/>
            <w:vAlign w:val="center"/>
          </w:tcPr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b/>
                <w:szCs w:val="28"/>
              </w:rPr>
              <w:t>商品類別</w:t>
            </w:r>
            <w:r w:rsidRPr="0044534B">
              <w:rPr>
                <w:rFonts w:ascii="Times New Roman" w:eastAsia="新細明體" w:hAnsi="Times New Roman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6526" w:type="dxa"/>
          </w:tcPr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color w:val="FF0000"/>
                <w:szCs w:val="28"/>
              </w:rPr>
              <w:t>說明：此為後填分類選項，請勾選商情之商品類別：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□化學品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□水資源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土壤地下水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海洋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□照明設備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□碳交易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溫室氣體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空氣污染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□碳補獲與封存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□紙類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塑膠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鋼材及其再生製品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□綠建築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綠建材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□綠色紡織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□綠色金融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□能源與再生能源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□航空與海運</w:t>
            </w:r>
          </w:p>
          <w:p w:rsidR="009216BF" w:rsidRPr="0044534B" w:rsidRDefault="004114F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SimSun" w:hAnsi="Times New Roman" w:cs="Times New Roman"/>
                <w:szCs w:val="28"/>
              </w:rPr>
              <w:sym w:font="Wingdings 2" w:char="F052"/>
            </w:r>
            <w:r w:rsidR="0096496C" w:rsidRPr="0044534B">
              <w:rPr>
                <w:rFonts w:ascii="Times New Roman" w:eastAsia="新細明體" w:hAnsi="Times New Roman" w:cs="Times New Roman" w:hint="eastAsia"/>
                <w:szCs w:val="28"/>
              </w:rPr>
              <w:t>車輛、路上運輸與物流業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□電機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電子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機械設備</w:t>
            </w:r>
          </w:p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□食品與農產品</w:t>
            </w:r>
          </w:p>
          <w:p w:rsidR="009216BF" w:rsidRPr="0044534B" w:rsidRDefault="004114F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□</w:t>
            </w:r>
            <w:r w:rsidR="0096496C" w:rsidRPr="0044534B">
              <w:rPr>
                <w:rFonts w:ascii="Times New Roman" w:eastAsia="新細明體" w:hAnsi="Times New Roman" w:cs="Times New Roman" w:hint="eastAsia"/>
                <w:szCs w:val="28"/>
              </w:rPr>
              <w:t>其他</w:t>
            </w:r>
            <w:r w:rsidR="0096496C" w:rsidRPr="0044534B">
              <w:rPr>
                <w:rFonts w:ascii="Times New Roman" w:eastAsia="新細明體" w:hAnsi="Times New Roman" w:cs="Times New Roman"/>
                <w:szCs w:val="28"/>
              </w:rPr>
              <w:t>/</w:t>
            </w:r>
            <w:r w:rsidR="0096496C" w:rsidRPr="0044534B">
              <w:rPr>
                <w:rFonts w:ascii="Times New Roman" w:eastAsia="新細明體" w:hAnsi="Times New Roman" w:cs="Times New Roman" w:hint="eastAsia"/>
                <w:szCs w:val="28"/>
              </w:rPr>
              <w:t>所有產品</w:t>
            </w:r>
          </w:p>
        </w:tc>
      </w:tr>
      <w:tr w:rsidR="009216BF" w:rsidRPr="0044534B" w:rsidTr="003C75CB">
        <w:trPr>
          <w:jc w:val="center"/>
        </w:trPr>
        <w:tc>
          <w:tcPr>
            <w:tcW w:w="510" w:type="dxa"/>
            <w:vAlign w:val="center"/>
          </w:tcPr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/>
                <w:b/>
                <w:szCs w:val="28"/>
              </w:rPr>
              <w:t>5</w:t>
            </w:r>
          </w:p>
        </w:tc>
        <w:tc>
          <w:tcPr>
            <w:tcW w:w="1753" w:type="dxa"/>
            <w:vAlign w:val="center"/>
          </w:tcPr>
          <w:p w:rsidR="009216BF" w:rsidRPr="0044534B" w:rsidRDefault="0096496C" w:rsidP="003026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b/>
                <w:szCs w:val="28"/>
              </w:rPr>
              <w:t>新聞日期</w:t>
            </w:r>
            <w:r w:rsidRPr="0044534B">
              <w:rPr>
                <w:rFonts w:ascii="Times New Roman" w:eastAsia="新細明體" w:hAnsi="Times New Roman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6526" w:type="dxa"/>
          </w:tcPr>
          <w:p w:rsidR="009216BF" w:rsidRPr="004143D4" w:rsidRDefault="00BF2DEB" w:rsidP="0030265C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8"/>
                <w:lang w:eastAsia="zh-CN"/>
              </w:rPr>
            </w:pPr>
            <w:r w:rsidRPr="004143D4">
              <w:rPr>
                <w:rFonts w:ascii="新細明體" w:eastAsia="新細明體" w:hAnsi="新細明體" w:cs="Times New Roman"/>
                <w:szCs w:val="28"/>
              </w:rPr>
              <w:t>2018</w:t>
            </w:r>
            <w:r w:rsidRPr="004143D4">
              <w:rPr>
                <w:rFonts w:ascii="新細明體" w:eastAsia="新細明體" w:hAnsi="新細明體" w:cs="Times New Roman" w:hint="eastAsia"/>
                <w:szCs w:val="28"/>
              </w:rPr>
              <w:t>年</w:t>
            </w:r>
            <w:r w:rsidR="00947E85">
              <w:rPr>
                <w:rFonts w:ascii="新細明體" w:eastAsia="DengXian" w:hAnsi="新細明體" w:cs="Times New Roman" w:hint="eastAsia"/>
                <w:szCs w:val="28"/>
                <w:lang w:eastAsia="zh-CN"/>
              </w:rPr>
              <w:t>1</w:t>
            </w:r>
            <w:r w:rsidR="00947E85">
              <w:rPr>
                <w:rFonts w:ascii="新細明體" w:eastAsia="DengXian" w:hAnsi="新細明體" w:cs="Times New Roman"/>
                <w:szCs w:val="28"/>
                <w:lang w:eastAsia="zh-CN"/>
              </w:rPr>
              <w:t>1</w:t>
            </w:r>
            <w:r w:rsidRPr="004143D4">
              <w:rPr>
                <w:rFonts w:ascii="新細明體" w:eastAsia="新細明體" w:hAnsi="新細明體" w:cs="Times New Roman" w:hint="eastAsia"/>
                <w:szCs w:val="28"/>
              </w:rPr>
              <w:t>月</w:t>
            </w:r>
            <w:r w:rsidR="00947E85">
              <w:rPr>
                <w:rFonts w:ascii="新細明體" w:eastAsia="DengXian" w:hAnsi="新細明體" w:cs="Times New Roman" w:hint="eastAsia"/>
                <w:szCs w:val="28"/>
                <w:lang w:eastAsia="zh-CN"/>
              </w:rPr>
              <w:t>2</w:t>
            </w:r>
            <w:r w:rsidR="00947E85">
              <w:rPr>
                <w:rFonts w:ascii="新細明體" w:eastAsia="DengXian" w:hAnsi="新細明體" w:cs="Times New Roman"/>
                <w:szCs w:val="28"/>
                <w:lang w:eastAsia="zh-CN"/>
              </w:rPr>
              <w:t>0</w:t>
            </w:r>
            <w:r w:rsidRPr="004143D4">
              <w:rPr>
                <w:rFonts w:ascii="新細明體" w:eastAsia="新細明體" w:hAnsi="新細明體" w:cs="Times New Roman" w:hint="eastAsia"/>
                <w:szCs w:val="28"/>
              </w:rPr>
              <w:t>日</w:t>
            </w:r>
          </w:p>
        </w:tc>
      </w:tr>
      <w:tr w:rsidR="009216BF" w:rsidRPr="00FF0F08" w:rsidTr="003C75CB">
        <w:trPr>
          <w:jc w:val="center"/>
        </w:trPr>
        <w:tc>
          <w:tcPr>
            <w:tcW w:w="510" w:type="dxa"/>
            <w:vAlign w:val="center"/>
          </w:tcPr>
          <w:p w:rsidR="009216BF" w:rsidRPr="00FF0F08" w:rsidRDefault="00FF0F08" w:rsidP="00FF0F08">
            <w:pPr>
              <w:spacing w:line="440" w:lineRule="exact"/>
              <w:contextualSpacing/>
              <w:jc w:val="both"/>
              <w:rPr>
                <w:rFonts w:asciiTheme="minorEastAsia" w:hAnsiTheme="minorEastAsia" w:cs="Times New Roman"/>
                <w:szCs w:val="24"/>
              </w:rPr>
            </w:pPr>
            <w:bookmarkStart w:id="2" w:name="_Hlk500492094"/>
            <w:r w:rsidRPr="00FF0F08">
              <w:rPr>
                <w:rFonts w:asciiTheme="minorEastAsia" w:hAnsiTheme="minorEastAsia" w:cs="Times New Roman"/>
                <w:szCs w:val="24"/>
              </w:rPr>
              <w:lastRenderedPageBreak/>
              <w:t>6</w:t>
            </w:r>
          </w:p>
        </w:tc>
        <w:tc>
          <w:tcPr>
            <w:tcW w:w="1753" w:type="dxa"/>
            <w:vAlign w:val="center"/>
          </w:tcPr>
          <w:p w:rsidR="009216BF" w:rsidRPr="00FF0F08" w:rsidRDefault="00FF0F08" w:rsidP="00FF0F08">
            <w:pPr>
              <w:spacing w:line="440" w:lineRule="exact"/>
              <w:contextualSpacing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FF0F08">
              <w:rPr>
                <w:rFonts w:asciiTheme="minorEastAsia" w:hAnsiTheme="minorEastAsia" w:cs="Times New Roman" w:hint="eastAsia"/>
                <w:szCs w:val="24"/>
              </w:rPr>
              <w:t>商情內容＊</w:t>
            </w:r>
          </w:p>
        </w:tc>
        <w:tc>
          <w:tcPr>
            <w:tcW w:w="6526" w:type="dxa"/>
          </w:tcPr>
          <w:p w:rsidR="00947E85" w:rsidRPr="004114FC" w:rsidRDefault="00DA55D2" w:rsidP="004114FC">
            <w:pPr>
              <w:spacing w:line="440" w:lineRule="exact"/>
              <w:contextualSpacing/>
              <w:jc w:val="both"/>
            </w:pPr>
            <w:r w:rsidRPr="004114FC">
              <w:rPr>
                <w:rFonts w:hint="eastAsia"/>
              </w:rPr>
              <w:t>「新能源汽車的應用對石油消耗的影響已經可以看到」，根據國際機構的最新報告，電動車等新能源汽車在中國等國家大量普及，能夠抑制交通業對石油的需求。</w:t>
            </w:r>
          </w:p>
          <w:p w:rsidR="00DA55D2" w:rsidRPr="004114FC" w:rsidRDefault="00DA55D2" w:rsidP="004114FC">
            <w:pPr>
              <w:spacing w:line="440" w:lineRule="exact"/>
              <w:contextualSpacing/>
              <w:jc w:val="both"/>
            </w:pPr>
          </w:p>
          <w:p w:rsidR="00947E85" w:rsidRPr="004114FC" w:rsidRDefault="00DA55D2" w:rsidP="004114FC">
            <w:pPr>
              <w:spacing w:line="440" w:lineRule="exact"/>
              <w:contextualSpacing/>
              <w:jc w:val="both"/>
            </w:pPr>
            <w:r w:rsidRPr="004114FC">
              <w:rPr>
                <w:rFonts w:hint="eastAsia"/>
              </w:rPr>
              <w:t>雖然目前電動車的數量有限，但產生的節能效果正在擴大。今</w:t>
            </w:r>
            <w:r w:rsidR="004114FC">
              <w:rPr>
                <w:rFonts w:hint="eastAsia"/>
              </w:rPr>
              <w:t>（</w:t>
            </w:r>
            <w:r w:rsidR="004114FC">
              <w:rPr>
                <w:rFonts w:hint="eastAsia"/>
              </w:rPr>
              <w:t>2018</w:t>
            </w:r>
            <w:r w:rsidR="004114FC">
              <w:rPr>
                <w:rFonts w:hint="eastAsia"/>
              </w:rPr>
              <w:t>）</w:t>
            </w:r>
            <w:r w:rsidRPr="004114FC">
              <w:rPr>
                <w:rFonts w:hint="eastAsia"/>
              </w:rPr>
              <w:t>年年底，全球電動公車將會替代</w:t>
            </w:r>
            <w:r w:rsidRPr="004114FC">
              <w:t>23.3</w:t>
            </w:r>
            <w:r w:rsidRPr="004114FC">
              <w:rPr>
                <w:rFonts w:hint="eastAsia"/>
              </w:rPr>
              <w:t>萬桶原油消耗量。再加上電動車所節省的能耗，每天將替代</w:t>
            </w:r>
            <w:r w:rsidRPr="004114FC">
              <w:t>27.9</w:t>
            </w:r>
            <w:r w:rsidRPr="004114FC">
              <w:rPr>
                <w:rFonts w:hint="eastAsia"/>
              </w:rPr>
              <w:t>萬桶石油，這大約相當於希臘一國每天消耗的石油量。預計到</w:t>
            </w:r>
            <w:r w:rsidRPr="004114FC">
              <w:t>2040</w:t>
            </w:r>
            <w:r w:rsidRPr="004114FC">
              <w:rPr>
                <w:rFonts w:hint="eastAsia"/>
              </w:rPr>
              <w:t>年，將有多達</w:t>
            </w:r>
            <w:r w:rsidRPr="004114FC">
              <w:t>3</w:t>
            </w:r>
            <w:r w:rsidRPr="004114FC">
              <w:rPr>
                <w:rFonts w:hint="eastAsia"/>
              </w:rPr>
              <w:t>億輛電動車投入使用，每天將替代</w:t>
            </w:r>
            <w:r w:rsidRPr="004114FC">
              <w:t>300</w:t>
            </w:r>
            <w:r w:rsidRPr="004114FC">
              <w:rPr>
                <w:rFonts w:hint="eastAsia"/>
              </w:rPr>
              <w:t>萬桶石油消耗。</w:t>
            </w:r>
          </w:p>
          <w:p w:rsidR="00DA55D2" w:rsidRPr="004114FC" w:rsidRDefault="00DA55D2" w:rsidP="004114FC">
            <w:pPr>
              <w:spacing w:line="440" w:lineRule="exact"/>
              <w:contextualSpacing/>
              <w:jc w:val="both"/>
            </w:pPr>
          </w:p>
          <w:p w:rsidR="00947E85" w:rsidRPr="004114FC" w:rsidRDefault="00DA55D2" w:rsidP="004114FC">
            <w:pPr>
              <w:spacing w:line="440" w:lineRule="exact"/>
              <w:contextualSpacing/>
              <w:jc w:val="both"/>
            </w:pPr>
            <w:r w:rsidRPr="004114FC">
              <w:rPr>
                <w:rFonts w:hint="eastAsia"/>
              </w:rPr>
              <w:t>美國哥倫比亞大學全球能源政策中心最新的一份研究報告稱，在未來</w:t>
            </w:r>
            <w:r w:rsidRPr="004114FC">
              <w:t>25</w:t>
            </w:r>
            <w:r w:rsidRPr="004114FC">
              <w:rPr>
                <w:rFonts w:hint="eastAsia"/>
              </w:rPr>
              <w:t>年中，沒有任何一份預測認為乘用車的燃油需求會繼續成長。一些預測認為到</w:t>
            </w:r>
            <w:r w:rsidRPr="004114FC">
              <w:t>2040</w:t>
            </w:r>
            <w:r w:rsidRPr="004114FC">
              <w:rPr>
                <w:rFonts w:hint="eastAsia"/>
              </w:rPr>
              <w:t>年，新能源汽車的普及率迅速上升將令交通能源需求大幅下降，雖然乘用車能耗僅占全球石油總需求的</w:t>
            </w:r>
            <w:r w:rsidRPr="004114FC">
              <w:t>1/4</w:t>
            </w:r>
            <w:r w:rsidRPr="004114FC">
              <w:rPr>
                <w:rFonts w:hint="eastAsia"/>
              </w:rPr>
              <w:t>左右，但是從傳統燃油汽車到電動車的轉型，對於減少溫室氣體和降低能耗而言，「既是可能的，也是必要的。」</w:t>
            </w:r>
          </w:p>
          <w:p w:rsidR="00DA55D2" w:rsidRPr="004114FC" w:rsidRDefault="00DA55D2" w:rsidP="004114FC">
            <w:pPr>
              <w:spacing w:line="440" w:lineRule="exact"/>
              <w:contextualSpacing/>
              <w:jc w:val="both"/>
            </w:pPr>
          </w:p>
          <w:p w:rsidR="00947E85" w:rsidRPr="004114FC" w:rsidRDefault="00DA55D2" w:rsidP="004114FC">
            <w:pPr>
              <w:spacing w:line="440" w:lineRule="exact"/>
              <w:contextualSpacing/>
              <w:jc w:val="both"/>
            </w:pPr>
            <w:r w:rsidRPr="004114FC">
              <w:rPr>
                <w:rFonts w:hint="eastAsia"/>
              </w:rPr>
              <w:t>一些地區在交通領域的石油消費已經在逐漸下降，歐洲在交通用石油消費上「已經見頂」。作為比較典型的例子，義大利的燃油消耗已經比</w:t>
            </w:r>
            <w:r w:rsidRPr="004114FC">
              <w:t>2005</w:t>
            </w:r>
            <w:r w:rsidRPr="004114FC">
              <w:rPr>
                <w:rFonts w:hint="eastAsia"/>
              </w:rPr>
              <w:t>年下降一半。究其原因，在公共交通方面，歐洲各國已經在大範圍應用新能源巴士，柴油的消耗也比以往大減。德國「經濟週刊」近日引述德國經濟研究所的報告稱，</w:t>
            </w:r>
            <w:r w:rsidRPr="004114FC">
              <w:t>2018</w:t>
            </w:r>
            <w:r w:rsidRPr="004114FC">
              <w:rPr>
                <w:rFonts w:hint="eastAsia"/>
              </w:rPr>
              <w:t>年上半年，歐洲交通用油僅小幅增加。隨著歐洲柴油車比重持續下滑，預計</w:t>
            </w:r>
            <w:r w:rsidRPr="004114FC">
              <w:t>2018</w:t>
            </w:r>
            <w:r w:rsidRPr="004114FC">
              <w:rPr>
                <w:rFonts w:hint="eastAsia"/>
              </w:rPr>
              <w:t>到</w:t>
            </w:r>
            <w:r w:rsidRPr="004114FC">
              <w:t>2019</w:t>
            </w:r>
            <w:r w:rsidRPr="004114FC">
              <w:rPr>
                <w:rFonts w:hint="eastAsia"/>
              </w:rPr>
              <w:t>年歐洲柴油消費均將接近</w:t>
            </w:r>
            <w:r w:rsidRPr="004114FC">
              <w:t>0</w:t>
            </w:r>
            <w:r w:rsidRPr="004114FC">
              <w:rPr>
                <w:rFonts w:hint="eastAsia"/>
              </w:rPr>
              <w:t>成長，未來逐漸出現負成長。</w:t>
            </w:r>
          </w:p>
          <w:p w:rsidR="00DA55D2" w:rsidRPr="004114FC" w:rsidRDefault="00DA55D2" w:rsidP="004114FC">
            <w:pPr>
              <w:spacing w:line="440" w:lineRule="exact"/>
              <w:contextualSpacing/>
              <w:jc w:val="both"/>
            </w:pPr>
          </w:p>
          <w:p w:rsidR="00947E85" w:rsidRPr="004114FC" w:rsidRDefault="00DA55D2" w:rsidP="004114FC">
            <w:pPr>
              <w:spacing w:line="440" w:lineRule="exact"/>
              <w:contextualSpacing/>
              <w:jc w:val="both"/>
            </w:pPr>
            <w:r w:rsidRPr="004114FC">
              <w:rPr>
                <w:rFonts w:hint="eastAsia"/>
              </w:rPr>
              <w:t>「日本經濟新聞」稱，在推廣新能源車方面，中國大陸目前正領先於世界。今年</w:t>
            </w:r>
            <w:r w:rsidRPr="004114FC">
              <w:t>1</w:t>
            </w:r>
            <w:r w:rsidRPr="004114FC">
              <w:rPr>
                <w:rFonts w:hint="eastAsia"/>
              </w:rPr>
              <w:t>月至</w:t>
            </w:r>
            <w:r w:rsidRPr="004114FC">
              <w:t>10</w:t>
            </w:r>
            <w:r w:rsidRPr="004114FC">
              <w:rPr>
                <w:rFonts w:hint="eastAsia"/>
              </w:rPr>
              <w:t>月，中國大陸的新能源乘用車銷量較去年同期成長</w:t>
            </w:r>
            <w:r w:rsidRPr="004114FC">
              <w:t>91%</w:t>
            </w:r>
            <w:r w:rsidRPr="004114FC">
              <w:rPr>
                <w:rFonts w:hint="eastAsia"/>
              </w:rPr>
              <w:t>，達到</w:t>
            </w:r>
            <w:r w:rsidRPr="004114FC">
              <w:t>72.6</w:t>
            </w:r>
            <w:r w:rsidRPr="004114FC">
              <w:rPr>
                <w:rFonts w:hint="eastAsia"/>
              </w:rPr>
              <w:t>萬輛。比亞迪、北汽等廠商正發力拓展產能，並爭奪市場。日本瑞穗銀行分析，目前新能源汽車占中國大陸新車銷量的比例略高於</w:t>
            </w:r>
            <w:r w:rsidRPr="004114FC">
              <w:t>3%</w:t>
            </w:r>
            <w:r w:rsidRPr="004114FC">
              <w:rPr>
                <w:rFonts w:hint="eastAsia"/>
              </w:rPr>
              <w:t>，但預計到</w:t>
            </w:r>
            <w:r w:rsidRPr="004114FC">
              <w:t>2030</w:t>
            </w:r>
            <w:r w:rsidRPr="004114FC">
              <w:rPr>
                <w:rFonts w:hint="eastAsia"/>
              </w:rPr>
              <w:t>年這一比例將超過</w:t>
            </w:r>
            <w:r w:rsidRPr="004114FC">
              <w:t>30%</w:t>
            </w:r>
            <w:r w:rsidRPr="004114FC">
              <w:rPr>
                <w:rFonts w:hint="eastAsia"/>
              </w:rPr>
              <w:t>。</w:t>
            </w:r>
          </w:p>
          <w:p w:rsidR="00947E85" w:rsidRPr="004114FC" w:rsidRDefault="00DA55D2" w:rsidP="004114FC">
            <w:pPr>
              <w:spacing w:line="440" w:lineRule="exact"/>
              <w:contextualSpacing/>
              <w:jc w:val="both"/>
            </w:pPr>
            <w:r w:rsidRPr="004114FC">
              <w:rPr>
                <w:rFonts w:hint="eastAsia"/>
              </w:rPr>
              <w:lastRenderedPageBreak/>
              <w:t>日本在發展新能源汽車的路徑上，在氫燃料電池領域曾取得早期成果，但無法解決其造價高、體積偏大、綜合效能不足的問題，對於這一發展路徑的過度依賴，導致日本在轉向新固態電池時動作遲緩，被批評錯失良機。為此，日本企業正積極尋求與中國展開合作，日產已經於今年</w:t>
            </w:r>
            <w:r w:rsidRPr="004114FC">
              <w:t>8</w:t>
            </w:r>
            <w:r w:rsidRPr="004114FC">
              <w:rPr>
                <w:rFonts w:hint="eastAsia"/>
              </w:rPr>
              <w:t>月份開始在中國大陸生產首款自有品牌的電動汽車。</w:t>
            </w:r>
          </w:p>
          <w:p w:rsidR="00C745F8" w:rsidRPr="004114FC" w:rsidRDefault="00C745F8" w:rsidP="004114FC">
            <w:pPr>
              <w:spacing w:line="440" w:lineRule="exact"/>
              <w:contextualSpacing/>
              <w:jc w:val="both"/>
            </w:pPr>
          </w:p>
        </w:tc>
      </w:tr>
      <w:bookmarkEnd w:id="2"/>
      <w:tr w:rsidR="009216BF" w:rsidRPr="0096496C" w:rsidTr="003C75CB">
        <w:trPr>
          <w:jc w:val="center"/>
        </w:trPr>
        <w:tc>
          <w:tcPr>
            <w:tcW w:w="510" w:type="dxa"/>
            <w:vAlign w:val="center"/>
          </w:tcPr>
          <w:p w:rsidR="009216BF" w:rsidRPr="0096496C" w:rsidRDefault="0096496C" w:rsidP="0030265C">
            <w:pPr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  <w:r w:rsidRPr="0096496C">
              <w:rPr>
                <w:rFonts w:ascii="Times New Roman" w:eastAsia="新細明體" w:hAnsi="Times New Roman" w:cs="Times New Roman"/>
                <w:szCs w:val="28"/>
              </w:rPr>
              <w:lastRenderedPageBreak/>
              <w:t>7</w:t>
            </w:r>
          </w:p>
        </w:tc>
        <w:tc>
          <w:tcPr>
            <w:tcW w:w="1753" w:type="dxa"/>
            <w:vAlign w:val="center"/>
          </w:tcPr>
          <w:p w:rsidR="009216BF" w:rsidRPr="0096496C" w:rsidRDefault="0096496C" w:rsidP="0030265C">
            <w:pPr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  <w:r w:rsidRPr="0096496C">
              <w:rPr>
                <w:rFonts w:ascii="Times New Roman" w:eastAsia="新細明體" w:hAnsi="Times New Roman" w:cs="Times New Roman" w:hint="eastAsia"/>
                <w:szCs w:val="28"/>
              </w:rPr>
              <w:t>資料來源＊</w:t>
            </w:r>
          </w:p>
        </w:tc>
        <w:tc>
          <w:tcPr>
            <w:tcW w:w="6526" w:type="dxa"/>
          </w:tcPr>
          <w:p w:rsidR="00C745F8" w:rsidRPr="00DA55D2" w:rsidRDefault="00DA55D2" w:rsidP="00C06224">
            <w:pPr>
              <w:rPr>
                <w:rFonts w:asciiTheme="minorEastAsia" w:hAnsiTheme="minorEastAsia"/>
              </w:rPr>
            </w:pPr>
            <w:r w:rsidRPr="00DA55D2">
              <w:rPr>
                <w:rFonts w:asciiTheme="minorEastAsia" w:hAnsiTheme="minorEastAsia" w:hint="eastAsia"/>
              </w:rPr>
              <w:t>東方財富網</w:t>
            </w:r>
          </w:p>
          <w:p w:rsidR="00094C15" w:rsidRPr="00DA55D2" w:rsidRDefault="00B073B1" w:rsidP="00C06224">
            <w:pPr>
              <w:rPr>
                <w:rFonts w:asciiTheme="minorEastAsia" w:hAnsiTheme="minorEastAsia"/>
              </w:rPr>
            </w:pPr>
            <w:hyperlink r:id="rId9" w:history="1">
              <w:r w:rsidR="00DA55D2" w:rsidRPr="00DA55D2">
                <w:rPr>
                  <w:rStyle w:val="a4"/>
                  <w:rFonts w:asciiTheme="minorEastAsia" w:hAnsiTheme="minorEastAsia"/>
                </w:rPr>
                <w:t>http://www.eastmoney.com/</w:t>
              </w:r>
            </w:hyperlink>
            <w:r w:rsidR="00DA55D2" w:rsidRPr="00DA55D2">
              <w:rPr>
                <w:rFonts w:asciiTheme="minorEastAsia" w:hAnsiTheme="minorEastAsia"/>
              </w:rPr>
              <w:t xml:space="preserve"> </w:t>
            </w:r>
          </w:p>
        </w:tc>
      </w:tr>
      <w:tr w:rsidR="009216BF" w:rsidRPr="0096496C" w:rsidTr="003C75CB">
        <w:trPr>
          <w:jc w:val="center"/>
        </w:trPr>
        <w:tc>
          <w:tcPr>
            <w:tcW w:w="510" w:type="dxa"/>
            <w:vAlign w:val="center"/>
          </w:tcPr>
          <w:p w:rsidR="009216BF" w:rsidRPr="0096496C" w:rsidRDefault="0096496C" w:rsidP="0030265C">
            <w:pPr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  <w:r w:rsidRPr="0096496C">
              <w:rPr>
                <w:rFonts w:ascii="Times New Roman" w:eastAsia="新細明體" w:hAnsi="Times New Roman" w:cs="Times New Roman"/>
                <w:szCs w:val="28"/>
              </w:rPr>
              <w:t>8</w:t>
            </w:r>
          </w:p>
        </w:tc>
        <w:tc>
          <w:tcPr>
            <w:tcW w:w="1753" w:type="dxa"/>
            <w:vAlign w:val="center"/>
          </w:tcPr>
          <w:p w:rsidR="009216BF" w:rsidRPr="0096496C" w:rsidRDefault="0096496C" w:rsidP="0030265C">
            <w:pPr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  <w:r w:rsidRPr="0096496C">
              <w:rPr>
                <w:rFonts w:ascii="Times New Roman" w:eastAsia="新細明體" w:hAnsi="Times New Roman" w:cs="Times New Roman" w:hint="eastAsia"/>
                <w:szCs w:val="28"/>
              </w:rPr>
              <w:t>圖片檔案</w:t>
            </w:r>
          </w:p>
        </w:tc>
        <w:tc>
          <w:tcPr>
            <w:tcW w:w="6526" w:type="dxa"/>
          </w:tcPr>
          <w:p w:rsidR="009216BF" w:rsidRPr="0044534B" w:rsidRDefault="009216BF" w:rsidP="0030265C">
            <w:pPr>
              <w:widowControl/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</w:p>
        </w:tc>
      </w:tr>
      <w:tr w:rsidR="009216BF" w:rsidRPr="0096496C" w:rsidTr="003C75CB">
        <w:trPr>
          <w:jc w:val="center"/>
        </w:trPr>
        <w:tc>
          <w:tcPr>
            <w:tcW w:w="510" w:type="dxa"/>
            <w:vAlign w:val="center"/>
          </w:tcPr>
          <w:p w:rsidR="009216BF" w:rsidRPr="0096496C" w:rsidRDefault="0096496C" w:rsidP="0030265C">
            <w:pPr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  <w:r w:rsidRPr="0096496C">
              <w:rPr>
                <w:rFonts w:ascii="Times New Roman" w:eastAsia="新細明體" w:hAnsi="Times New Roman" w:cs="Times New Roman"/>
                <w:szCs w:val="28"/>
              </w:rPr>
              <w:t>9</w:t>
            </w:r>
          </w:p>
        </w:tc>
        <w:tc>
          <w:tcPr>
            <w:tcW w:w="1753" w:type="dxa"/>
            <w:vAlign w:val="center"/>
          </w:tcPr>
          <w:p w:rsidR="009216BF" w:rsidRPr="0096496C" w:rsidRDefault="0096496C" w:rsidP="0030265C">
            <w:pPr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  <w:r w:rsidRPr="0096496C">
              <w:rPr>
                <w:rFonts w:ascii="Times New Roman" w:eastAsia="新細明體" w:hAnsi="Times New Roman" w:cs="Times New Roman" w:hint="eastAsia"/>
                <w:szCs w:val="28"/>
              </w:rPr>
              <w:t>檔案下載</w:t>
            </w:r>
          </w:p>
        </w:tc>
        <w:tc>
          <w:tcPr>
            <w:tcW w:w="6526" w:type="dxa"/>
          </w:tcPr>
          <w:p w:rsidR="009216BF" w:rsidRPr="0096496C" w:rsidRDefault="0096496C" w:rsidP="0030265C">
            <w:pPr>
              <w:spacing w:line="440" w:lineRule="exact"/>
              <w:jc w:val="both"/>
              <w:rPr>
                <w:rFonts w:ascii="Times New Roman" w:eastAsia="新細明體" w:hAnsi="Times New Roman" w:cs="Times New Roman"/>
                <w:szCs w:val="28"/>
              </w:rPr>
            </w:pP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說明：若有相關檔案提供，檔案須小於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 xml:space="preserve"> 8 MB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，以</w:t>
            </w:r>
            <w:r w:rsidRPr="0044534B">
              <w:rPr>
                <w:rFonts w:ascii="Times New Roman" w:eastAsia="新細明體" w:hAnsi="Times New Roman" w:cs="Times New Roman"/>
                <w:szCs w:val="28"/>
              </w:rPr>
              <w:t>pdf</w:t>
            </w:r>
            <w:r w:rsidRPr="0044534B">
              <w:rPr>
                <w:rFonts w:ascii="Times New Roman" w:eastAsia="新細明體" w:hAnsi="Times New Roman" w:cs="Times New Roman" w:hint="eastAsia"/>
                <w:szCs w:val="28"/>
              </w:rPr>
              <w:t>檔為主</w:t>
            </w:r>
          </w:p>
        </w:tc>
      </w:tr>
      <w:bookmarkEnd w:id="0"/>
    </w:tbl>
    <w:p w:rsidR="008A4CAF" w:rsidRPr="0096496C" w:rsidRDefault="008A4CAF" w:rsidP="0030265C">
      <w:pPr>
        <w:spacing w:line="440" w:lineRule="exact"/>
        <w:jc w:val="both"/>
        <w:rPr>
          <w:rFonts w:ascii="Times New Roman" w:eastAsia="新細明體" w:hAnsi="Times New Roman" w:cs="Times New Roman"/>
          <w:szCs w:val="28"/>
        </w:rPr>
      </w:pPr>
    </w:p>
    <w:sectPr w:rsidR="008A4CAF" w:rsidRPr="0096496C" w:rsidSect="00D50E25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B1" w:rsidRDefault="00B073B1" w:rsidP="009B71AF">
      <w:r>
        <w:separator/>
      </w:r>
    </w:p>
  </w:endnote>
  <w:endnote w:type="continuationSeparator" w:id="0">
    <w:p w:rsidR="00B073B1" w:rsidRDefault="00B073B1" w:rsidP="009B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B1" w:rsidRDefault="00B073B1" w:rsidP="009B71AF">
      <w:r>
        <w:separator/>
      </w:r>
    </w:p>
  </w:footnote>
  <w:footnote w:type="continuationSeparator" w:id="0">
    <w:p w:rsidR="00B073B1" w:rsidRDefault="00B073B1" w:rsidP="009B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26A"/>
    <w:multiLevelType w:val="hybridMultilevel"/>
    <w:tmpl w:val="03D699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F"/>
    <w:rsid w:val="00072FEE"/>
    <w:rsid w:val="00087222"/>
    <w:rsid w:val="00094C15"/>
    <w:rsid w:val="000A1B81"/>
    <w:rsid w:val="000C378A"/>
    <w:rsid w:val="000F52BD"/>
    <w:rsid w:val="001178B1"/>
    <w:rsid w:val="001865C7"/>
    <w:rsid w:val="0019656A"/>
    <w:rsid w:val="001D315F"/>
    <w:rsid w:val="001F5CB5"/>
    <w:rsid w:val="001F61A2"/>
    <w:rsid w:val="0020062A"/>
    <w:rsid w:val="00202503"/>
    <w:rsid w:val="00205D71"/>
    <w:rsid w:val="00232843"/>
    <w:rsid w:val="002473A0"/>
    <w:rsid w:val="00282F08"/>
    <w:rsid w:val="002A565B"/>
    <w:rsid w:val="002D2B46"/>
    <w:rsid w:val="002F35C8"/>
    <w:rsid w:val="00300A91"/>
    <w:rsid w:val="0030265C"/>
    <w:rsid w:val="0031106E"/>
    <w:rsid w:val="003311BD"/>
    <w:rsid w:val="00335137"/>
    <w:rsid w:val="00343209"/>
    <w:rsid w:val="00367B60"/>
    <w:rsid w:val="00384576"/>
    <w:rsid w:val="003C75CB"/>
    <w:rsid w:val="003D3250"/>
    <w:rsid w:val="003F4BED"/>
    <w:rsid w:val="004114FC"/>
    <w:rsid w:val="004143D4"/>
    <w:rsid w:val="0044534B"/>
    <w:rsid w:val="004534A3"/>
    <w:rsid w:val="00463613"/>
    <w:rsid w:val="00513840"/>
    <w:rsid w:val="00534D2E"/>
    <w:rsid w:val="00534D79"/>
    <w:rsid w:val="00563083"/>
    <w:rsid w:val="0058275C"/>
    <w:rsid w:val="005A0CF9"/>
    <w:rsid w:val="005C54A8"/>
    <w:rsid w:val="005D79E7"/>
    <w:rsid w:val="00624734"/>
    <w:rsid w:val="00637D04"/>
    <w:rsid w:val="006A118D"/>
    <w:rsid w:val="006D316A"/>
    <w:rsid w:val="006E13B4"/>
    <w:rsid w:val="00724D9F"/>
    <w:rsid w:val="0077061F"/>
    <w:rsid w:val="00770FAE"/>
    <w:rsid w:val="0078464E"/>
    <w:rsid w:val="007A2624"/>
    <w:rsid w:val="00844EBB"/>
    <w:rsid w:val="00864BC1"/>
    <w:rsid w:val="0089344C"/>
    <w:rsid w:val="008A4CAF"/>
    <w:rsid w:val="008E0950"/>
    <w:rsid w:val="009216BF"/>
    <w:rsid w:val="00947E85"/>
    <w:rsid w:val="0096496C"/>
    <w:rsid w:val="009922F4"/>
    <w:rsid w:val="009B36F5"/>
    <w:rsid w:val="009B70BB"/>
    <w:rsid w:val="009B71AF"/>
    <w:rsid w:val="009F0B57"/>
    <w:rsid w:val="00A12AB8"/>
    <w:rsid w:val="00AA6124"/>
    <w:rsid w:val="00AB6B50"/>
    <w:rsid w:val="00B03060"/>
    <w:rsid w:val="00B073B1"/>
    <w:rsid w:val="00B647A9"/>
    <w:rsid w:val="00B67792"/>
    <w:rsid w:val="00BC51B1"/>
    <w:rsid w:val="00BE08C6"/>
    <w:rsid w:val="00BF2DEB"/>
    <w:rsid w:val="00BF33F4"/>
    <w:rsid w:val="00C06224"/>
    <w:rsid w:val="00C56B1E"/>
    <w:rsid w:val="00C745F8"/>
    <w:rsid w:val="00C91CC7"/>
    <w:rsid w:val="00CA2F0D"/>
    <w:rsid w:val="00CF719D"/>
    <w:rsid w:val="00D70D88"/>
    <w:rsid w:val="00D90317"/>
    <w:rsid w:val="00D949BE"/>
    <w:rsid w:val="00DA55D2"/>
    <w:rsid w:val="00DD66C8"/>
    <w:rsid w:val="00E22FD5"/>
    <w:rsid w:val="00ED160F"/>
    <w:rsid w:val="00ED24D7"/>
    <w:rsid w:val="00EE3EF5"/>
    <w:rsid w:val="00F62CB2"/>
    <w:rsid w:val="00F8122E"/>
    <w:rsid w:val="00FA77A8"/>
    <w:rsid w:val="00FD41DB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5BA56-2E3A-4733-83EE-8C7E073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新細明體" w:eastAsia="新細明體" w:hAnsi="新細明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5F"/>
    <w:pPr>
      <w:widowControl w:val="0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uiPriority w:val="9"/>
    <w:qFormat/>
    <w:rsid w:val="004636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463613"/>
    <w:pPr>
      <w:widowControl/>
      <w:spacing w:before="100" w:beforeAutospacing="1" w:after="100" w:afterAutospacing="1"/>
      <w:outlineLvl w:val="1"/>
    </w:pPr>
    <w:rPr>
      <w:rFonts w:ascii="SimSun" w:eastAsia="SimSun" w:hAnsi="SimSun" w:cs="SimSu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5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5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315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67B60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styleId="a5">
    <w:name w:val="Strong"/>
    <w:basedOn w:val="a0"/>
    <w:uiPriority w:val="22"/>
    <w:qFormat/>
    <w:rsid w:val="00864BC1"/>
    <w:rPr>
      <w:b/>
      <w:bCs/>
    </w:rPr>
  </w:style>
  <w:style w:type="paragraph" w:styleId="a6">
    <w:name w:val="header"/>
    <w:basedOn w:val="a"/>
    <w:link w:val="a7"/>
    <w:uiPriority w:val="99"/>
    <w:unhideWhenUsed/>
    <w:rsid w:val="009B7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B71AF"/>
    <w:rPr>
      <w:rFonts w:asciiTheme="minorHAnsi" w:eastAsiaTheme="minorEastAsia" w:hAnsiTheme="minorHAns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B71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9B71AF"/>
    <w:rPr>
      <w:rFonts w:asciiTheme="minorHAnsi" w:eastAsiaTheme="minorEastAsia" w:hAnsiTheme="minorHAnsi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31106E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7061F"/>
    <w:pPr>
      <w:ind w:leftChars="200" w:left="480"/>
    </w:pPr>
  </w:style>
  <w:style w:type="character" w:styleId="ab">
    <w:name w:val="Placeholder Text"/>
    <w:basedOn w:val="a0"/>
    <w:uiPriority w:val="99"/>
    <w:semiHidden/>
    <w:rsid w:val="0020062A"/>
    <w:rPr>
      <w:color w:val="808080"/>
    </w:rPr>
  </w:style>
  <w:style w:type="character" w:customStyle="1" w:styleId="20">
    <w:name w:val="標題 2 字元"/>
    <w:basedOn w:val="a0"/>
    <w:link w:val="2"/>
    <w:uiPriority w:val="9"/>
    <w:rsid w:val="00463613"/>
    <w:rPr>
      <w:rFonts w:ascii="SimSun" w:eastAsia="SimSun" w:hAnsi="SimSun" w:cs="SimSun"/>
      <w:b/>
      <w:bCs/>
      <w:kern w:val="0"/>
      <w:sz w:val="36"/>
      <w:szCs w:val="36"/>
      <w:lang w:eastAsia="zh-CN"/>
    </w:rPr>
  </w:style>
  <w:style w:type="character" w:customStyle="1" w:styleId="10">
    <w:name w:val="標題 1 字元"/>
    <w:basedOn w:val="a0"/>
    <w:link w:val="1"/>
    <w:uiPriority w:val="9"/>
    <w:rsid w:val="00463613"/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customStyle="1" w:styleId="30">
    <w:name w:val="標題 3 字元"/>
    <w:basedOn w:val="a0"/>
    <w:link w:val="3"/>
    <w:uiPriority w:val="9"/>
    <w:semiHidden/>
    <w:rsid w:val="00C745F8"/>
    <w:rPr>
      <w:rFonts w:asciiTheme="minorHAnsi" w:eastAsiaTheme="minorEastAsia" w:hAnsiTheme="minorHAnsi"/>
      <w:b/>
      <w:bCs/>
      <w:sz w:val="32"/>
      <w:szCs w:val="32"/>
    </w:rPr>
  </w:style>
  <w:style w:type="character" w:customStyle="1" w:styleId="21">
    <w:name w:val="未处理的提及2"/>
    <w:basedOn w:val="a0"/>
    <w:uiPriority w:val="99"/>
    <w:semiHidden/>
    <w:unhideWhenUsed/>
    <w:rsid w:val="00BF2DEB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464E"/>
    <w:rPr>
      <w:color w:val="808080"/>
      <w:shd w:val="clear" w:color="auto" w:fill="E6E6E6"/>
    </w:rPr>
  </w:style>
  <w:style w:type="character" w:customStyle="1" w:styleId="hrefstyle">
    <w:name w:val="hrefstyle"/>
    <w:basedOn w:val="a0"/>
    <w:rsid w:val="0072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trade.org.tw/zh-hant/purchasing_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trad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tmoney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ttcnj-002</dc:creator>
  <cp:keywords/>
  <dc:description/>
  <cp:lastModifiedBy>Vincent Lin</cp:lastModifiedBy>
  <cp:revision>4</cp:revision>
  <dcterms:created xsi:type="dcterms:W3CDTF">2018-11-20T05:47:00Z</dcterms:created>
  <dcterms:modified xsi:type="dcterms:W3CDTF">2018-11-20T06:17:00Z</dcterms:modified>
</cp:coreProperties>
</file>