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6E" w:rsidRPr="00261E2D" w:rsidRDefault="007C1F6E" w:rsidP="00E7703B">
      <w:pPr>
        <w:pStyle w:val="af1"/>
        <w:spacing w:afterLines="50" w:after="180" w:line="400" w:lineRule="exac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bookmarkStart w:id="0" w:name="_Toc349123146"/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附件三　綠色特性與綠色價值審查表</w:t>
      </w:r>
    </w:p>
    <w:p w:rsidR="007C1F6E" w:rsidRPr="00261E2D" w:rsidRDefault="007C1F6E" w:rsidP="007C1F6E">
      <w:pPr>
        <w:pStyle w:val="a3"/>
        <w:spacing w:line="0" w:lineRule="atLeast"/>
        <w:ind w:leftChars="0" w:left="720"/>
        <w:rPr>
          <w:rFonts w:ascii="微軟正黑體" w:eastAsia="微軟正黑體" w:hAnsi="微軟正黑體"/>
          <w:color w:val="0D0D0D" w:themeColor="text1" w:themeTint="F2"/>
          <w:u w:val="single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   　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委員簽名：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  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日期：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  　　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</w:p>
    <w:tbl>
      <w:tblPr>
        <w:tblStyle w:val="a5"/>
        <w:tblW w:w="9542" w:type="dxa"/>
        <w:jc w:val="center"/>
        <w:tblLook w:val="04A0" w:firstRow="1" w:lastRow="0" w:firstColumn="1" w:lastColumn="0" w:noHBand="0" w:noVBand="1"/>
      </w:tblPr>
      <w:tblGrid>
        <w:gridCol w:w="622"/>
        <w:gridCol w:w="796"/>
        <w:gridCol w:w="424"/>
        <w:gridCol w:w="1438"/>
        <w:gridCol w:w="4670"/>
        <w:gridCol w:w="796"/>
        <w:gridCol w:w="796"/>
      </w:tblGrid>
      <w:tr w:rsidR="00261E2D" w:rsidRPr="00261E2D" w:rsidTr="007C1F6E">
        <w:trPr>
          <w:trHeight w:val="294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項目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項次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467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檢核要點說明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A85FDA" w:rsidRPr="00261E2D" w:rsidRDefault="00A85FDA" w:rsidP="007C1F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【一】綠色特性</w:t>
            </w:r>
          </w:p>
        </w:tc>
        <w:tc>
          <w:tcPr>
            <w:tcW w:w="796" w:type="dxa"/>
            <w:tcBorders>
              <w:top w:val="single" w:sz="12" w:space="0" w:color="000000" w:themeColor="text1"/>
            </w:tcBorders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低汙染</w:t>
            </w:r>
          </w:p>
        </w:tc>
        <w:tc>
          <w:tcPr>
            <w:tcW w:w="4670" w:type="dxa"/>
            <w:tcBorders>
              <w:top w:val="single" w:sz="12" w:space="0" w:color="000000" w:themeColor="text1"/>
            </w:tcBorders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Ex：低污染技術產品、污染防治設備與服務、廢水處理、廢棄物處理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可回收</w:t>
            </w:r>
          </w:p>
        </w:tc>
        <w:tc>
          <w:tcPr>
            <w:tcW w:w="4670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Ex：使用可回收材料、使用單一材料、易拆解設計、生態化設計、可回收處理、可再使用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省資源</w:t>
            </w:r>
          </w:p>
        </w:tc>
        <w:tc>
          <w:tcPr>
            <w:tcW w:w="4670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Ex：減少用水量、減量設計、單一材質或減少使用物料種類、去物質化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2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省能源</w:t>
            </w:r>
          </w:p>
        </w:tc>
        <w:tc>
          <w:tcPr>
            <w:tcW w:w="4670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Ex：減少使用能源、節能設計、使用再生能源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無毒化</w:t>
            </w:r>
          </w:p>
        </w:tc>
        <w:tc>
          <w:tcPr>
            <w:tcW w:w="4670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產品不含有害物質，Ex：無鹵素、無汞、無PVC、無氯系或溴系阻燃劑、無塑化劑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再生能源</w:t>
            </w:r>
          </w:p>
        </w:tc>
        <w:tc>
          <w:tcPr>
            <w:tcW w:w="4670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產品本身為再生能源或綠能產品，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E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x：太陽能、風力發電、生質燃料、LED、電動機車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2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生物可分解</w:t>
            </w:r>
          </w:p>
        </w:tc>
        <w:tc>
          <w:tcPr>
            <w:tcW w:w="4670" w:type="dxa"/>
            <w:vAlign w:val="center"/>
          </w:tcPr>
          <w:p w:rsidR="00A85FDA" w:rsidRPr="00261E2D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產品材質來源為生物可分解材料，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E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x：PLA or NFRC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430957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A85FDA" w:rsidRPr="00907725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可堆肥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A85FDA" w:rsidRPr="00907725" w:rsidRDefault="00A85FDA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產品棄置可進行堆肥處理</w:t>
            </w:r>
            <w:r w:rsidRPr="00907725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</w:p>
        </w:tc>
        <w:tc>
          <w:tcPr>
            <w:tcW w:w="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A85FDA" w:rsidRPr="00261E2D" w:rsidTr="007C1F6E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FDA" w:rsidRPr="00A85FDA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12" w:space="0" w:color="000000" w:themeColor="text1"/>
            </w:tcBorders>
            <w:vAlign w:val="center"/>
          </w:tcPr>
          <w:p w:rsidR="00A85FDA" w:rsidRPr="00261E2D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85FDA" w:rsidRPr="00907725" w:rsidRDefault="00A85FDA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</w:p>
        </w:tc>
        <w:tc>
          <w:tcPr>
            <w:tcW w:w="4670" w:type="dxa"/>
            <w:tcBorders>
              <w:bottom w:val="single" w:sz="12" w:space="0" w:color="000000" w:themeColor="text1"/>
            </w:tcBorders>
            <w:vAlign w:val="center"/>
          </w:tcPr>
          <w:p w:rsidR="00A85FDA" w:rsidRPr="00907725" w:rsidRDefault="0027718B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非前述但可對環境帶來永續發展者</w:t>
            </w:r>
          </w:p>
        </w:tc>
        <w:tc>
          <w:tcPr>
            <w:tcW w:w="79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5FDA" w:rsidRPr="00261E2D" w:rsidRDefault="00A85FDA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7C1F6E">
        <w:trPr>
          <w:jc w:val="center"/>
        </w:trPr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C1F6E" w:rsidRPr="00261E2D" w:rsidRDefault="007C1F6E" w:rsidP="007C1F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【二】綠色價值</w:t>
            </w:r>
          </w:p>
        </w:tc>
        <w:tc>
          <w:tcPr>
            <w:tcW w:w="796" w:type="dxa"/>
            <w:tcBorders>
              <w:top w:val="single" w:sz="12" w:space="0" w:color="000000" w:themeColor="text1"/>
            </w:tcBorders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綠色認證</w:t>
            </w:r>
          </w:p>
        </w:tc>
        <w:tc>
          <w:tcPr>
            <w:tcW w:w="4670" w:type="dxa"/>
            <w:tcBorders>
              <w:top w:val="single" w:sz="12" w:space="0" w:color="000000" w:themeColor="text1"/>
            </w:tcBorders>
            <w:vAlign w:val="center"/>
          </w:tcPr>
          <w:p w:rsidR="007C1F6E" w:rsidRPr="00907725" w:rsidRDefault="007C1F6E" w:rsidP="00A85F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取得任一國內外環境友善相關標誌、認(驗)證或獎項(</w:t>
            </w:r>
            <w:r w:rsidR="00A85FDA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例如：節能、省水、綠建材</w:t>
            </w: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、或其他類</w:t>
            </w:r>
            <w:r w:rsidR="00A85FDA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標章</w:t>
            </w: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  <w:r w:rsidRPr="00907725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</w:p>
        </w:tc>
        <w:tc>
          <w:tcPr>
            <w:tcW w:w="796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C1F6E" w:rsidRPr="00261E2D" w:rsidRDefault="00FF5699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7C1F6E">
        <w:trPr>
          <w:trHeight w:val="456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綠色發展</w:t>
            </w:r>
          </w:p>
        </w:tc>
        <w:tc>
          <w:tcPr>
            <w:tcW w:w="4670" w:type="dxa"/>
            <w:vAlign w:val="center"/>
          </w:tcPr>
          <w:p w:rsidR="007C1F6E" w:rsidRPr="00907725" w:rsidRDefault="007C1F6E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具取代、創新、獨特性</w:t>
            </w:r>
            <w:r w:rsidRPr="00907725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7C1F6E" w:rsidRPr="00261E2D" w:rsidRDefault="00FF5699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7C1F6E">
        <w:trPr>
          <w:trHeight w:val="754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24" w:type="dxa"/>
            <w:vMerge w:val="restart"/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品牌行銷</w:t>
            </w:r>
          </w:p>
        </w:tc>
        <w:tc>
          <w:tcPr>
            <w:tcW w:w="1438" w:type="dxa"/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銷售市場潛力</w:t>
            </w:r>
          </w:p>
        </w:tc>
        <w:tc>
          <w:tcPr>
            <w:tcW w:w="4670" w:type="dxa"/>
            <w:vAlign w:val="center"/>
          </w:tcPr>
          <w:p w:rsidR="007C1F6E" w:rsidRPr="00907725" w:rsidRDefault="007C1F6E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已有內銷或外銷市場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7C1F6E" w:rsidRPr="00261E2D" w:rsidRDefault="00FF5699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7C1F6E">
        <w:trPr>
          <w:trHeight w:val="525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1F6E" w:rsidRPr="00261E2D" w:rsidRDefault="007C1F6E" w:rsidP="007C1F6E">
            <w:pPr>
              <w:spacing w:line="400" w:lineRule="exact"/>
              <w:ind w:left="113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F6E" w:rsidRPr="00261E2D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４</w:t>
            </w:r>
          </w:p>
        </w:tc>
        <w:tc>
          <w:tcPr>
            <w:tcW w:w="424" w:type="dxa"/>
            <w:vMerge/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自有品牌潛力</w:t>
            </w:r>
          </w:p>
        </w:tc>
        <w:tc>
          <w:tcPr>
            <w:tcW w:w="4670" w:type="dxa"/>
            <w:vAlign w:val="center"/>
          </w:tcPr>
          <w:p w:rsidR="007C1F6E" w:rsidRPr="00907725" w:rsidRDefault="007C1F6E" w:rsidP="007C1F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擁有自有品牌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7C1F6E" w:rsidRPr="00261E2D" w:rsidRDefault="00FF5699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7C1F6E">
        <w:trPr>
          <w:trHeight w:val="525"/>
          <w:jc w:val="center"/>
        </w:trPr>
        <w:tc>
          <w:tcPr>
            <w:tcW w:w="795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1F6E" w:rsidRPr="00907725" w:rsidRDefault="007C1F6E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總　　　　　　　　　　分</w:t>
            </w:r>
          </w:p>
        </w:tc>
        <w:tc>
          <w:tcPr>
            <w:tcW w:w="1592" w:type="dxa"/>
            <w:gridSpan w:val="2"/>
            <w:tcBorders>
              <w:right w:val="single" w:sz="12" w:space="0" w:color="auto"/>
            </w:tcBorders>
            <w:vAlign w:val="center"/>
          </w:tcPr>
          <w:p w:rsidR="007C1F6E" w:rsidRPr="00261E2D" w:rsidRDefault="007C1F6E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7C1F6E">
        <w:trPr>
          <w:trHeight w:val="525"/>
          <w:jc w:val="center"/>
        </w:trPr>
        <w:tc>
          <w:tcPr>
            <w:tcW w:w="954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F6E" w:rsidRPr="00907725" w:rsidRDefault="007C1F6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註1：</w:t>
            </w:r>
            <w:r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以上審查項目依廠商提供之申請表基本資料、型錄及其他輔助資料等作為評分參考。</w:t>
            </w:r>
          </w:p>
          <w:p w:rsidR="00843B12" w:rsidRPr="00907725" w:rsidRDefault="007C1F6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註2：</w:t>
            </w:r>
            <w:r w:rsidR="00843B12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屬於經濟部中堅企業名單之企業(查詢網址：</w:t>
            </w:r>
            <w:hyperlink r:id="rId8" w:history="1">
              <w:r w:rsidR="000B234C" w:rsidRPr="00907725">
                <w:rPr>
                  <w:rStyle w:val="af2"/>
                  <w:rFonts w:ascii="微軟正黑體" w:eastAsia="微軟正黑體" w:hAnsi="微軟正黑體"/>
                  <w:color w:val="auto"/>
                  <w:sz w:val="20"/>
                  <w:szCs w:val="20"/>
                </w:rPr>
                <w:t>http://www.mittelstand.org.tw/</w:t>
              </w:r>
            </w:hyperlink>
            <w:r w:rsidR="00843B12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0B234C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以及有出口實績者(</w:t>
            </w:r>
            <w:hyperlink r:id="rId9" w:history="1">
              <w:r w:rsidR="000B234C" w:rsidRPr="00907725">
                <w:rPr>
                  <w:rStyle w:val="af2"/>
                  <w:rFonts w:ascii="微軟正黑體" w:eastAsia="微軟正黑體" w:hAnsi="微軟正黑體"/>
                  <w:color w:val="auto"/>
                  <w:sz w:val="20"/>
                  <w:szCs w:val="20"/>
                </w:rPr>
                <w:t>https://fbfh.trade.gov.tw/rich/text/indexfbOL.asp</w:t>
              </w:r>
            </w:hyperlink>
            <w:r w:rsidR="000B234C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843B12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，予以加分10分，並可列入總分合併計算。</w:t>
            </w:r>
          </w:p>
          <w:p w:rsidR="007C1F6E" w:rsidRPr="00907725" w:rsidRDefault="00843B12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註3：</w:t>
            </w:r>
            <w:r w:rsidR="007C1F6E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總分100分，此表單配比75分，與</w:t>
            </w:r>
            <w:r w:rsidR="007221F1" w:rsidRPr="00907725">
              <w:rPr>
                <w:rFonts w:ascii="微軟正黑體" w:eastAsia="微軟正黑體" w:hAnsi="微軟正黑體" w:hint="eastAsia"/>
                <w:b/>
                <w:i/>
                <w:sz w:val="20"/>
                <w:szCs w:val="20"/>
                <w:u w:val="single"/>
              </w:rPr>
              <w:t>附件四</w:t>
            </w:r>
            <w:r w:rsidR="006B082A" w:rsidRPr="00907725">
              <w:rPr>
                <w:rFonts w:ascii="微軟正黑體" w:eastAsia="微軟正黑體" w:hAnsi="微軟正黑體" w:hint="eastAsia"/>
                <w:b/>
                <w:i/>
                <w:sz w:val="20"/>
                <w:szCs w:val="20"/>
                <w:u w:val="single"/>
              </w:rPr>
              <w:t xml:space="preserve"> </w:t>
            </w:r>
            <w:r w:rsidR="007C1F6E" w:rsidRPr="00907725">
              <w:rPr>
                <w:rFonts w:ascii="微軟正黑體" w:eastAsia="微軟正黑體" w:hAnsi="微軟正黑體" w:hint="eastAsia"/>
                <w:b/>
                <w:i/>
                <w:sz w:val="20"/>
                <w:szCs w:val="20"/>
                <w:u w:val="single"/>
              </w:rPr>
              <w:t>綠色</w:t>
            </w:r>
            <w:r w:rsidR="003543E3" w:rsidRPr="00907725">
              <w:rPr>
                <w:rFonts w:ascii="微軟正黑體" w:eastAsia="微軟正黑體" w:hAnsi="微軟正黑體" w:hint="eastAsia"/>
                <w:b/>
                <w:i/>
                <w:sz w:val="20"/>
                <w:szCs w:val="20"/>
                <w:u w:val="single"/>
              </w:rPr>
              <w:t>行銷五大構面衡量表</w:t>
            </w:r>
            <w:r w:rsidR="007C1F6E" w:rsidRPr="00907725">
              <w:rPr>
                <w:rFonts w:ascii="微軟正黑體" w:eastAsia="微軟正黑體" w:hAnsi="微軟正黑體" w:hint="eastAsia"/>
                <w:sz w:val="20"/>
                <w:szCs w:val="20"/>
              </w:rPr>
              <w:t>加總(配比25分)，得分超過70分者予以列入輔導。</w:t>
            </w:r>
          </w:p>
          <w:p w:rsidR="007C1F6E" w:rsidRPr="00907725" w:rsidRDefault="007C1F6E" w:rsidP="007C1F6E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委員建議：</w:t>
            </w:r>
          </w:p>
          <w:p w:rsidR="007C1F6E" w:rsidRPr="00907725" w:rsidRDefault="007C1F6E" w:rsidP="007C1F6E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7C1F6E" w:rsidRPr="00843B12" w:rsidRDefault="007C1F6E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rFonts w:ascii="微軟正黑體" w:eastAsia="微軟正黑體" w:hAnsi="微軟正黑體"/>
          <w:b/>
          <w:color w:val="0D0D0D" w:themeColor="text1" w:themeTint="F2"/>
          <w:szCs w:val="24"/>
        </w:rPr>
      </w:pPr>
      <w:r w:rsidRPr="00843B12">
        <w:rPr>
          <w:color w:val="0D0D0D" w:themeColor="text1" w:themeTint="F2"/>
        </w:rPr>
        <w:br w:type="page"/>
      </w:r>
      <w:bookmarkStart w:id="1" w:name="_GoBack"/>
      <w:bookmarkEnd w:id="1"/>
      <w:r w:rsidRPr="00843B12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lastRenderedPageBreak/>
        <w:t>附件四　綠色</w:t>
      </w:r>
      <w:r w:rsidR="003543E3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行銷五大構面</w:t>
      </w:r>
      <w:r w:rsidRPr="00843B12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衡量表</w:t>
      </w:r>
    </w:p>
    <w:p w:rsidR="007C1F6E" w:rsidRPr="00261E2D" w:rsidRDefault="007C1F6E" w:rsidP="007C1F6E">
      <w:pPr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   　 </w:t>
      </w:r>
    </w:p>
    <w:tbl>
      <w:tblPr>
        <w:tblStyle w:val="a5"/>
        <w:tblW w:w="104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711"/>
        <w:gridCol w:w="1431"/>
        <w:gridCol w:w="1771"/>
        <w:gridCol w:w="1417"/>
        <w:gridCol w:w="1631"/>
        <w:gridCol w:w="1487"/>
        <w:gridCol w:w="1034"/>
      </w:tblGrid>
      <w:tr w:rsidR="00261E2D" w:rsidRPr="00261E2D" w:rsidTr="009D0551">
        <w:trPr>
          <w:gridBefore w:val="1"/>
          <w:wBefore w:w="6" w:type="dxa"/>
          <w:trHeight w:val="3354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u w:val="single"/>
              </w:rPr>
            </w:pPr>
          </w:p>
          <w:p w:rsidR="007C1F6E" w:rsidRPr="00261E2D" w:rsidRDefault="007C1F6E" w:rsidP="007C1F6E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u w:val="single"/>
              </w:rPr>
            </w:pPr>
          </w:p>
          <w:tbl>
            <w:tblPr>
              <w:tblpPr w:leftFromText="180" w:rightFromText="180" w:vertAnchor="text" w:tblpY="1"/>
              <w:tblOverlap w:val="never"/>
              <w:tblW w:w="167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636"/>
            </w:tblGrid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  <w:t>衡量標準</w:t>
                  </w: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  <w:t>分數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極高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高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中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261E2D" w:rsidRPr="00261E2D" w:rsidTr="007C1F6E">
              <w:trPr>
                <w:trHeight w:val="345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極低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C1F6E" w:rsidRPr="00E63F78" w:rsidRDefault="009D0551" w:rsidP="007C1F6E">
            <w:pPr>
              <w:spacing w:line="0" w:lineRule="atLeast"/>
              <w:jc w:val="right"/>
              <w:rPr>
                <w:color w:val="0000FF"/>
              </w:rPr>
            </w:pPr>
            <w:r w:rsidRPr="00E63F78">
              <w:rPr>
                <w:noProof/>
                <w:color w:val="0000FF"/>
              </w:rPr>
              <w:drawing>
                <wp:anchor distT="0" distB="0" distL="114300" distR="114300" simplePos="0" relativeHeight="251658752" behindDoc="1" locked="0" layoutInCell="1" allowOverlap="1" wp14:anchorId="44CEB972" wp14:editId="49AD2BE5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-454660</wp:posOffset>
                  </wp:positionV>
                  <wp:extent cx="3689350" cy="1939925"/>
                  <wp:effectExtent l="0" t="0" r="25400" b="22225"/>
                  <wp:wrapThrough wrapText="bothSides">
                    <wp:wrapPolygon edited="0">
                      <wp:start x="0" y="0"/>
                      <wp:lineTo x="0" y="21635"/>
                      <wp:lineTo x="21637" y="21635"/>
                      <wp:lineTo x="21637" y="0"/>
                      <wp:lineTo x="0" y="0"/>
                    </wp:wrapPolygon>
                  </wp:wrapThrough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1E2D" w:rsidRPr="00261E2D" w:rsidTr="00961C95">
        <w:tblPrEx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衡量層面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註1</w:t>
            </w:r>
          </w:p>
        </w:tc>
        <w:tc>
          <w:tcPr>
            <w:tcW w:w="773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衡量項目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註2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平均得分</w:t>
            </w:r>
          </w:p>
        </w:tc>
      </w:tr>
      <w:tr w:rsidR="00261E2D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F6E" w:rsidRPr="00961C95" w:rsidRDefault="007C1F6E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1.</w:t>
            </w:r>
            <w:r w:rsidR="00961C95"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競爭力</w:t>
            </w: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7C1F6E" w:rsidRPr="00B0389A" w:rsidRDefault="004D572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研發技術能量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認證標章獎項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獨特性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設計或</w:t>
            </w: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材料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跨</w:t>
            </w:r>
            <w:r w:rsidR="00D1690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界</w:t>
            </w: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合作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F6E" w:rsidRPr="00961C95" w:rsidRDefault="007C1F6E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2.</w:t>
            </w:r>
            <w:r w:rsidR="00961C95"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品牌</w:t>
            </w: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7C1F6E" w:rsidRPr="00B0389A" w:rsidRDefault="004D572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定位</w:t>
            </w:r>
            <w:r w:rsidRPr="004D5725">
              <w:rPr>
                <w:rFonts w:ascii="微軟正黑體" w:eastAsia="微軟正黑體" w:hAnsi="微軟正黑體" w:hint="eastAsia"/>
                <w:b/>
                <w:color w:val="0000FF"/>
                <w:sz w:val="10"/>
                <w:szCs w:val="16"/>
              </w:rPr>
              <w:t>(產品/服務/品牌)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C1F6E" w:rsidRPr="00B0389A" w:rsidRDefault="00FC022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企業/品牌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識別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E" w:rsidRPr="00B0389A" w:rsidRDefault="00982E9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綠色品牌</w:t>
            </w:r>
            <w:r w:rsidR="00FC022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故事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982E9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FC022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FC0229" w:rsidP="00B42D8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記憶/連結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961C9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3.市場面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82E99" w:rsidRPr="00B0389A" w:rsidRDefault="00FC022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市場對象</w:t>
            </w:r>
          </w:p>
        </w:tc>
        <w:tc>
          <w:tcPr>
            <w:tcW w:w="1771" w:type="dxa"/>
          </w:tcPr>
          <w:p w:rsidR="00982E99" w:rsidRPr="00B0389A" w:rsidRDefault="00FC022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區隔市場</w:t>
            </w:r>
          </w:p>
        </w:tc>
        <w:tc>
          <w:tcPr>
            <w:tcW w:w="1417" w:type="dxa"/>
          </w:tcPr>
          <w:p w:rsidR="00982E99" w:rsidRPr="00B0389A" w:rsidRDefault="00FC0229" w:rsidP="003A357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目標客群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982E99" w:rsidRPr="00B0389A" w:rsidRDefault="00FC0229" w:rsidP="003A357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通路</w:t>
            </w:r>
            <w:r w:rsidR="00CA6D5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策略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</w:tcPr>
          <w:p w:rsidR="00982E99" w:rsidRPr="00B0389A" w:rsidRDefault="00CA6D50" w:rsidP="00CA6D50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訂</w:t>
            </w:r>
            <w:r w:rsidR="00FC022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價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策略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E99" w:rsidRPr="00261E2D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961C9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4.行銷工具面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82E99" w:rsidRPr="002C738B" w:rsidRDefault="00CD2B34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新聞稿</w:t>
            </w:r>
          </w:p>
        </w:tc>
        <w:tc>
          <w:tcPr>
            <w:tcW w:w="1771" w:type="dxa"/>
          </w:tcPr>
          <w:p w:rsidR="00982E99" w:rsidRPr="002C738B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C738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靜態平面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文宣</w:t>
            </w:r>
          </w:p>
        </w:tc>
        <w:tc>
          <w:tcPr>
            <w:tcW w:w="1417" w:type="dxa"/>
          </w:tcPr>
          <w:p w:rsidR="00982E99" w:rsidRPr="002C738B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C738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動態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  <w:r w:rsidRPr="002C738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影片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2C738B" w:rsidRDefault="00017734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實體展示系統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2C738B" w:rsidRDefault="00017734" w:rsidP="0001773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數位行銷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E99" w:rsidRPr="00261E2D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961C9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5.業務推廣面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82E99" w:rsidRPr="00913FF5" w:rsidRDefault="00D82637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電子商務</w:t>
            </w:r>
          </w:p>
        </w:tc>
        <w:tc>
          <w:tcPr>
            <w:tcW w:w="1771" w:type="dxa"/>
          </w:tcPr>
          <w:p w:rsidR="00982E99" w:rsidRPr="00866DCD" w:rsidRDefault="00017734" w:rsidP="0001773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會展</w:t>
            </w:r>
          </w:p>
        </w:tc>
        <w:tc>
          <w:tcPr>
            <w:tcW w:w="1417" w:type="dxa"/>
          </w:tcPr>
          <w:p w:rsidR="00982E99" w:rsidRPr="00866DCD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平台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913FF5" w:rsidRDefault="00982E99" w:rsidP="00D8263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媒體</w:t>
            </w:r>
            <w:r w:rsidR="0001773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傳播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913FF5" w:rsidRDefault="00D82637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群聚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E99" w:rsidRPr="00261E2D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61C95">
        <w:tblPrEx>
          <w:tblCellMar>
            <w:left w:w="108" w:type="dxa"/>
            <w:right w:w="108" w:type="dxa"/>
          </w:tblCellMar>
        </w:tblPrEx>
        <w:trPr>
          <w:trHeight w:val="2790"/>
          <w:jc w:val="center"/>
        </w:trPr>
        <w:tc>
          <w:tcPr>
            <w:tcW w:w="104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註1：依五大層面，來衡量企業綠色</w:t>
            </w:r>
            <w:r w:rsidR="00E165B5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行銷能力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，說明如下：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競爭力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面：以企業之產品或服務，依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研發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技術能量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、認證標章獎項、獨特性、綠色</w:t>
            </w:r>
            <w:r w:rsidR="0072547F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設計或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材料以及跨界合作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品牌面：以企業之產品或服務，依定位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企業/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品牌識別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、綠色品牌故事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綠色形象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以及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記憶/連結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市場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面：以企業之產品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或服務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，依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市場對象、區隔市場、目標客群、通路策略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以及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訂價策略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行銷工具面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：以企業之產品或服務，依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新聞稿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靜態平面文宣、動態形象影片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實體展示系統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以及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數位行銷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業務推廣面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：以企業之產品或服務，依</w:t>
            </w:r>
            <w:r w:rsidR="004A50A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電子商務、會展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、平台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4A50A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媒體傳播以及群聚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註2：衡量項目參考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附件五 綠色</w:t>
            </w:r>
            <w:r w:rsidR="009537F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行銷五大構面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衡量標準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 xml:space="preserve"> (若衡量項目不適用於該企業，則該項不予以計分與平均)。</w:t>
            </w:r>
          </w:p>
        </w:tc>
      </w:tr>
      <w:tr w:rsidR="00982E99" w:rsidRPr="00261E2D" w:rsidTr="00961C95">
        <w:tblPrEx>
          <w:tblCellMar>
            <w:left w:w="108" w:type="dxa"/>
            <w:right w:w="108" w:type="dxa"/>
          </w:tblCellMar>
        </w:tblPrEx>
        <w:trPr>
          <w:trHeight w:val="889"/>
          <w:jc w:val="center"/>
        </w:trPr>
        <w:tc>
          <w:tcPr>
            <w:tcW w:w="1048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備註：</w:t>
            </w:r>
          </w:p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4A50A6" w:rsidRDefault="004A50A6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4A50A6" w:rsidRDefault="004A50A6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C1F6E" w:rsidRPr="00261E2D" w:rsidRDefault="007C1F6E" w:rsidP="007C1F6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附件五　綠色亮點衡量標準</w:t>
      </w:r>
    </w:p>
    <w:tbl>
      <w:tblPr>
        <w:tblStyle w:val="a5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66"/>
        <w:gridCol w:w="1796"/>
        <w:gridCol w:w="1676"/>
        <w:gridCol w:w="1596"/>
        <w:gridCol w:w="2312"/>
        <w:gridCol w:w="1596"/>
        <w:gridCol w:w="360"/>
      </w:tblGrid>
      <w:tr w:rsidR="00E573D0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1.競爭力面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43465" w:rsidRDefault="00D5111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研發技術能量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20428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2042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認證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標章</w:t>
            </w:r>
            <w:r w:rsidRPr="0022042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獎項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D74709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D7470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獨特性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DB3219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DB321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設計或</w:t>
            </w:r>
            <w:r w:rsidRPr="00DB321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材料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DB3219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跨</w:t>
            </w:r>
            <w:r w:rsidR="004D7BC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界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合作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73D0" w:rsidRPr="00261E2D" w:rsidRDefault="00E573D0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1B3036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極高：5分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極高(&gt;10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取得2項以上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極新穎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全部導入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(100%)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異業結盟中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高：4分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高(9-10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已取得1項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研究開發中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大部分導入(3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1~99%)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合作洽談中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中：3分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一般(6-8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過去已取得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已初步突破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初步導入(1~3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0%)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持續開發中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低：2分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低(3-5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申請中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待突破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未導入(0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尚未開發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90772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極低：1分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極低(0-2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不適用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普遍存在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不適用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不適用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b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2.品牌面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67025F" w:rsidRDefault="00C417C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定位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B650CA" w:rsidRDefault="00C417C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企業/品牌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識別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B650CA" w:rsidRDefault="00982E99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綠色品牌</w:t>
            </w:r>
            <w:r w:rsidR="00903B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故事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B650CA" w:rsidRDefault="00982E99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903B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77188A" w:rsidRDefault="00903B60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903B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記憶/連結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73D0" w:rsidRPr="00261E2D" w:rsidRDefault="00E573D0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E573D0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已完全區別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已區別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區別中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具基礎概念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尚未能區別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尚未導入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907725" w:rsidRDefault="00E573D0" w:rsidP="003A357C">
            <w:pPr>
              <w:spacing w:line="0" w:lineRule="atLeast"/>
              <w:jc w:val="center"/>
              <w:rPr>
                <w:b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A357C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907725" w:rsidRDefault="003A357C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3.市場面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907725" w:rsidRDefault="003A357C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2042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市場對象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區隔</w:t>
            </w:r>
            <w:r w:rsidR="00623A3F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市場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目標客群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通路策略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E1008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訂價策略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A357C" w:rsidRPr="00261E2D" w:rsidRDefault="003A357C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41493D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B2B/B2C兼具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B06CF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已完全區隔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已完全區別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單一特定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已區隔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已區別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區分中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區隔中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區別中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具基礎概念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具基礎概念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未明顯區分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尚未能區隔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尚未能區別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b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333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4.行銷工具面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41493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新聞稿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靜態平面文宣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744CD8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744CD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動態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  <w:r w:rsidRPr="00744CD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影片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實體</w:t>
            </w:r>
            <w:r w:rsidRPr="001B37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展示系統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41493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數位行銷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1493D" w:rsidRPr="00261E2D" w:rsidRDefault="0041493D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41493D" w:rsidRPr="00261E2D" w:rsidTr="003A357C">
        <w:trPr>
          <w:trHeight w:val="179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b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5.業務推廣面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71DB7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電子商務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8164B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會展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平台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41493D" w:rsidP="008164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媒體</w:t>
            </w:r>
            <w:r w:rsidR="008164B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傳播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8164BA" w:rsidP="008164BA">
            <w:pPr>
              <w:tabs>
                <w:tab w:val="left" w:pos="352"/>
                <w:tab w:val="center" w:pos="821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群聚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1493D" w:rsidRPr="00261E2D" w:rsidRDefault="0041493D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D67848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90772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90772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67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全面曝光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全面上架</w:t>
            </w:r>
          </w:p>
        </w:tc>
        <w:tc>
          <w:tcPr>
            <w:tcW w:w="2312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D67848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90772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90772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已導入</w:t>
            </w:r>
          </w:p>
        </w:tc>
        <w:tc>
          <w:tcPr>
            <w:tcW w:w="167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已曝光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已上架</w:t>
            </w:r>
          </w:p>
        </w:tc>
        <w:tc>
          <w:tcPr>
            <w:tcW w:w="2312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已導入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67848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90772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90772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導入中</w:t>
            </w:r>
          </w:p>
        </w:tc>
        <w:tc>
          <w:tcPr>
            <w:tcW w:w="167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曝光中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上架中</w:t>
            </w:r>
          </w:p>
        </w:tc>
        <w:tc>
          <w:tcPr>
            <w:tcW w:w="2312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導入中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AD37C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90772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772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573D0" w:rsidRDefault="00E573D0" w:rsidP="006F125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</w:p>
    <w:p w:rsidR="006F125E" w:rsidRPr="00261E2D" w:rsidRDefault="006F125E" w:rsidP="006F125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 xml:space="preserve">附件六 </w:t>
      </w:r>
      <w:r w:rsidR="006B082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行銷曝光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規劃表</w:t>
      </w:r>
    </w:p>
    <w:p w:rsidR="006F125E" w:rsidRPr="00261E2D" w:rsidRDefault="006F125E" w:rsidP="006F125E">
      <w:pPr>
        <w:spacing w:line="0" w:lineRule="atLeast"/>
        <w:rPr>
          <w:rFonts w:ascii="微軟正黑體" w:eastAsia="微軟正黑體" w:hAnsi="微軟正黑體"/>
          <w:color w:val="0D0D0D" w:themeColor="text1" w:themeTint="F2"/>
          <w:u w:val="single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延續輔導企業名稱：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委員簽名：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日期：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  　　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</w:p>
    <w:tbl>
      <w:tblPr>
        <w:tblStyle w:val="a5"/>
        <w:tblW w:w="9306" w:type="dxa"/>
        <w:jc w:val="center"/>
        <w:tblLook w:val="04A0" w:firstRow="1" w:lastRow="0" w:firstColumn="1" w:lastColumn="0" w:noHBand="0" w:noVBand="1"/>
      </w:tblPr>
      <w:tblGrid>
        <w:gridCol w:w="732"/>
        <w:gridCol w:w="6982"/>
        <w:gridCol w:w="796"/>
        <w:gridCol w:w="796"/>
      </w:tblGrid>
      <w:tr w:rsidR="00261E2D" w:rsidRPr="00261E2D" w:rsidTr="00FF5699">
        <w:trPr>
          <w:trHeight w:val="29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1.媒體資源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5C254E" w:rsidRPr="00261E2D" w:rsidRDefault="00FF5699" w:rsidP="000057C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包含國內外媒體的採訪、報導或引用等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cantSplit/>
          <w:trHeight w:val="1236"/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5C25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2.廣告刊登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包含國內外報章、雜誌等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203"/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3.網路行銷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trHeight w:val="400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包含各種網路平台(例如官網、社群、youtube等媒介)等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trHeight w:val="400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301"/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4.參展規劃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trHeight w:val="491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包含國內外各式展覽等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trHeight w:val="323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7A7E02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ab/>
            </w:r>
          </w:p>
          <w:p w:rsidR="005C254E" w:rsidRPr="00261E2D" w:rsidRDefault="005C254E" w:rsidP="007A7E02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CB01B6">
        <w:trPr>
          <w:trHeight w:val="323"/>
          <w:jc w:val="center"/>
        </w:trPr>
        <w:tc>
          <w:tcPr>
            <w:tcW w:w="77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CB01B6" w:rsidRPr="00261E2D" w:rsidRDefault="00CB01B6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          分</w:t>
            </w:r>
          </w:p>
        </w:tc>
        <w:tc>
          <w:tcPr>
            <w:tcW w:w="1592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CB01B6" w:rsidRPr="00261E2D" w:rsidRDefault="00CB01B6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990B2F">
        <w:trPr>
          <w:trHeight w:val="1065"/>
          <w:jc w:val="center"/>
        </w:trPr>
        <w:tc>
          <w:tcPr>
            <w:tcW w:w="9306" w:type="dxa"/>
            <w:gridSpan w:val="4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6C7E" w:rsidRPr="00261E2D" w:rsidRDefault="00776C7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註1：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總分100分，此表單配比</w:t>
            </w:r>
            <w:r w:rsidR="00E774ED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80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分，與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附件七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計</w:t>
            </w:r>
            <w:r w:rsidR="00236A30" w:rsidRPr="00236A30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畫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參與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配合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度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評分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表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加總(配比</w:t>
            </w:r>
            <w:r w:rsidR="00E774ED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分)，得分超過70分者予以列入輔導。</w:t>
            </w:r>
          </w:p>
          <w:p w:rsidR="00776C7E" w:rsidRPr="00261E2D" w:rsidRDefault="00776C7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委員建議：</w:t>
            </w: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A7E02" w:rsidRPr="00261E2D" w:rsidRDefault="007A7E02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A7E02" w:rsidRPr="00261E2D" w:rsidRDefault="007A7E02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76C7E" w:rsidRPr="00261E2D" w:rsidRDefault="00776C7E" w:rsidP="00776C7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附件七 計</w:t>
      </w:r>
      <w:r w:rsidR="00236A30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畫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參與</w:t>
      </w:r>
      <w:r w:rsidR="007A7E02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配合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度</w:t>
      </w:r>
      <w:r w:rsidR="006B082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評分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表</w:t>
      </w:r>
    </w:p>
    <w:p w:rsidR="002C5ED8" w:rsidRPr="00261E2D" w:rsidRDefault="005C254E" w:rsidP="002C5ED8">
      <w:pPr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延續輔導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   　 </w:t>
      </w:r>
    </w:p>
    <w:tbl>
      <w:tblPr>
        <w:tblStyle w:val="a5"/>
        <w:tblW w:w="10330" w:type="dxa"/>
        <w:jc w:val="center"/>
        <w:tblLook w:val="04A0" w:firstRow="1" w:lastRow="0" w:firstColumn="1" w:lastColumn="0" w:noHBand="0" w:noVBand="1"/>
      </w:tblPr>
      <w:tblGrid>
        <w:gridCol w:w="1732"/>
        <w:gridCol w:w="1440"/>
        <w:gridCol w:w="1800"/>
        <w:gridCol w:w="1620"/>
        <w:gridCol w:w="1440"/>
        <w:gridCol w:w="1260"/>
        <w:gridCol w:w="1038"/>
      </w:tblGrid>
      <w:tr w:rsidR="00261E2D" w:rsidRPr="00261E2D" w:rsidTr="00C057F2">
        <w:trPr>
          <w:trHeight w:val="456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5D68E1" w:rsidP="007A7E02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評分</w:t>
            </w:r>
            <w:r w:rsidR="007A7E02"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項目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5D68E1" w:rsidP="002C5ED8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評分項目</w:t>
            </w:r>
            <w:r w:rsidR="007A7E02"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2C5ED8" w:rsidP="002C5ED8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1.企業參與度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包含企業主動參與計畫內相關培訓課程、說明會或國內外參展邀約等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2.企業配合度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包含各式報名申請資料、企業相關資訊、產品型錄的提供以及會議出席等</w:t>
            </w:r>
          </w:p>
        </w:tc>
      </w:tr>
      <w:tr w:rsidR="00261E2D" w:rsidRPr="00261E2D" w:rsidTr="006C7FD7">
        <w:trPr>
          <w:trHeight w:val="481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481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3.預期商機</w:t>
            </w:r>
          </w:p>
        </w:tc>
        <w:tc>
          <w:tcPr>
            <w:tcW w:w="85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包含提供企業潛在客戶數量、訂單量的提供等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4.行銷曝光規劃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FF5699" w:rsidP="005D68E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包含提供企業在報章、媒體、雜誌、網路以及參展的規劃等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466B" w:rsidRPr="00261E2D" w:rsidRDefault="0061466B" w:rsidP="007A7E02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466B" w:rsidRPr="00261E2D" w:rsidRDefault="0061466B" w:rsidP="007A7E02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C057F2">
        <w:trPr>
          <w:jc w:val="center"/>
        </w:trPr>
        <w:tc>
          <w:tcPr>
            <w:tcW w:w="9292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2" w:rsidRPr="00261E2D" w:rsidRDefault="00C057F2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　　　　　　　　　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7F2" w:rsidRPr="00261E2D" w:rsidRDefault="00C057F2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C5ED8" w:rsidRPr="00261E2D" w:rsidTr="00990B2F">
        <w:trPr>
          <w:trHeight w:val="2790"/>
          <w:jc w:val="center"/>
        </w:trPr>
        <w:tc>
          <w:tcPr>
            <w:tcW w:w="103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ED8" w:rsidRPr="00261E2D" w:rsidRDefault="006C7FD7" w:rsidP="00E774E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建議：</w:t>
            </w:r>
          </w:p>
        </w:tc>
      </w:tr>
    </w:tbl>
    <w:p w:rsidR="00A10C38" w:rsidRDefault="00A10C38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p w:rsidR="00A10C38" w:rsidRDefault="00A10C38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bookmarkEnd w:id="0"/>
    <w:p w:rsidR="003E07C4" w:rsidRPr="00261E2D" w:rsidRDefault="003E07C4" w:rsidP="0078266A">
      <w:pPr>
        <w:jc w:val="both"/>
        <w:rPr>
          <w:rFonts w:ascii="微軟正黑體" w:eastAsia="微軟正黑體" w:hAnsi="微軟正黑體" w:hint="eastAsia"/>
          <w:color w:val="0D0D0D" w:themeColor="text1" w:themeTint="F2"/>
        </w:rPr>
      </w:pPr>
    </w:p>
    <w:sectPr w:rsidR="003E07C4" w:rsidRPr="00261E2D" w:rsidSect="00907725">
      <w:footerReference w:type="default" r:id="rId11"/>
      <w:pgSz w:w="11906" w:h="16838"/>
      <w:pgMar w:top="1440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BA" w:rsidRDefault="000F4EBA" w:rsidP="00FB4E47">
      <w:r>
        <w:separator/>
      </w:r>
    </w:p>
  </w:endnote>
  <w:endnote w:type="continuationSeparator" w:id="0">
    <w:p w:rsidR="000F4EBA" w:rsidRDefault="000F4EBA" w:rsidP="00F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54501"/>
      <w:docPartObj>
        <w:docPartGallery w:val="Page Numbers (Bottom of Page)"/>
        <w:docPartUnique/>
      </w:docPartObj>
    </w:sdtPr>
    <w:sdtEndPr/>
    <w:sdtContent>
      <w:p w:rsidR="00AD37CA" w:rsidRDefault="00AD37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1F" w:rsidRPr="009D351F">
          <w:rPr>
            <w:noProof/>
            <w:lang w:val="zh-TW"/>
          </w:rPr>
          <w:t>2</w:t>
        </w:r>
        <w:r>
          <w:fldChar w:fldCharType="end"/>
        </w:r>
      </w:p>
    </w:sdtContent>
  </w:sdt>
  <w:p w:rsidR="00AD37CA" w:rsidRDefault="00AD3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BA" w:rsidRDefault="000F4EBA" w:rsidP="00FB4E47">
      <w:r>
        <w:separator/>
      </w:r>
    </w:p>
  </w:footnote>
  <w:footnote w:type="continuationSeparator" w:id="0">
    <w:p w:rsidR="000F4EBA" w:rsidRDefault="000F4EBA" w:rsidP="00FB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9A2"/>
    <w:multiLevelType w:val="hybridMultilevel"/>
    <w:tmpl w:val="090A013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047CA"/>
    <w:multiLevelType w:val="hybridMultilevel"/>
    <w:tmpl w:val="63F42660"/>
    <w:lvl w:ilvl="0" w:tplc="AE3A870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62410"/>
    <w:multiLevelType w:val="hybridMultilevel"/>
    <w:tmpl w:val="D3003E84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112F4"/>
    <w:multiLevelType w:val="hybridMultilevel"/>
    <w:tmpl w:val="A024F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C5326"/>
    <w:multiLevelType w:val="hybridMultilevel"/>
    <w:tmpl w:val="588AFB0C"/>
    <w:lvl w:ilvl="0" w:tplc="EA6849BE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B2289F"/>
    <w:multiLevelType w:val="hybridMultilevel"/>
    <w:tmpl w:val="08E0D3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A36960"/>
    <w:multiLevelType w:val="hybridMultilevel"/>
    <w:tmpl w:val="BC907784"/>
    <w:lvl w:ilvl="0" w:tplc="495E15B2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70539C"/>
    <w:multiLevelType w:val="hybridMultilevel"/>
    <w:tmpl w:val="BE44D682"/>
    <w:lvl w:ilvl="0" w:tplc="35B614E2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44AE4"/>
    <w:multiLevelType w:val="hybridMultilevel"/>
    <w:tmpl w:val="A6104CA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3FE013C"/>
    <w:multiLevelType w:val="hybridMultilevel"/>
    <w:tmpl w:val="25BE5FB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4A63B8C"/>
    <w:multiLevelType w:val="hybridMultilevel"/>
    <w:tmpl w:val="DF846A18"/>
    <w:lvl w:ilvl="0" w:tplc="91609E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4705E5"/>
    <w:multiLevelType w:val="hybridMultilevel"/>
    <w:tmpl w:val="BE36B61A"/>
    <w:lvl w:ilvl="0" w:tplc="B8B6B4E8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4C1FBC"/>
    <w:multiLevelType w:val="hybridMultilevel"/>
    <w:tmpl w:val="40A2EEE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19489C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54319E"/>
    <w:multiLevelType w:val="hybridMultilevel"/>
    <w:tmpl w:val="8C4E1A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322148"/>
    <w:multiLevelType w:val="hybridMultilevel"/>
    <w:tmpl w:val="F90AB47E"/>
    <w:lvl w:ilvl="0" w:tplc="9D928DE6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3"/>
    <w:rsid w:val="0000357E"/>
    <w:rsid w:val="000057C3"/>
    <w:rsid w:val="000103B6"/>
    <w:rsid w:val="00010B73"/>
    <w:rsid w:val="00017330"/>
    <w:rsid w:val="00017734"/>
    <w:rsid w:val="0002660C"/>
    <w:rsid w:val="00041B69"/>
    <w:rsid w:val="000427D1"/>
    <w:rsid w:val="00047F50"/>
    <w:rsid w:val="00055FB2"/>
    <w:rsid w:val="00060CD6"/>
    <w:rsid w:val="00071A0F"/>
    <w:rsid w:val="00071BA5"/>
    <w:rsid w:val="00072209"/>
    <w:rsid w:val="000739D3"/>
    <w:rsid w:val="00073E9C"/>
    <w:rsid w:val="0008420E"/>
    <w:rsid w:val="00091277"/>
    <w:rsid w:val="00093244"/>
    <w:rsid w:val="00093F75"/>
    <w:rsid w:val="000A2866"/>
    <w:rsid w:val="000B21F6"/>
    <w:rsid w:val="000B234C"/>
    <w:rsid w:val="000B2FC3"/>
    <w:rsid w:val="000C00BB"/>
    <w:rsid w:val="000C4DD4"/>
    <w:rsid w:val="000D577E"/>
    <w:rsid w:val="000E185D"/>
    <w:rsid w:val="000E61AB"/>
    <w:rsid w:val="000F02AA"/>
    <w:rsid w:val="000F0BF9"/>
    <w:rsid w:val="000F2143"/>
    <w:rsid w:val="000F363D"/>
    <w:rsid w:val="000F4EBA"/>
    <w:rsid w:val="000F5C32"/>
    <w:rsid w:val="001041D7"/>
    <w:rsid w:val="00106212"/>
    <w:rsid w:val="001122BD"/>
    <w:rsid w:val="001141CC"/>
    <w:rsid w:val="001156F9"/>
    <w:rsid w:val="00126CCE"/>
    <w:rsid w:val="00137027"/>
    <w:rsid w:val="00140385"/>
    <w:rsid w:val="001454D8"/>
    <w:rsid w:val="00156293"/>
    <w:rsid w:val="001603ED"/>
    <w:rsid w:val="00162CFE"/>
    <w:rsid w:val="001641AF"/>
    <w:rsid w:val="001664D8"/>
    <w:rsid w:val="00167820"/>
    <w:rsid w:val="00170412"/>
    <w:rsid w:val="00175736"/>
    <w:rsid w:val="001772E6"/>
    <w:rsid w:val="0018269B"/>
    <w:rsid w:val="0018325F"/>
    <w:rsid w:val="0018409B"/>
    <w:rsid w:val="001841F5"/>
    <w:rsid w:val="00185836"/>
    <w:rsid w:val="00193CA0"/>
    <w:rsid w:val="001A12C8"/>
    <w:rsid w:val="001A60A6"/>
    <w:rsid w:val="001A6CD3"/>
    <w:rsid w:val="001B3036"/>
    <w:rsid w:val="001C3AFC"/>
    <w:rsid w:val="001C420B"/>
    <w:rsid w:val="001D026B"/>
    <w:rsid w:val="00207744"/>
    <w:rsid w:val="00214229"/>
    <w:rsid w:val="00220428"/>
    <w:rsid w:val="0022791C"/>
    <w:rsid w:val="00236A30"/>
    <w:rsid w:val="00240113"/>
    <w:rsid w:val="002402F2"/>
    <w:rsid w:val="002442D5"/>
    <w:rsid w:val="00255E35"/>
    <w:rsid w:val="002562D5"/>
    <w:rsid w:val="00261E2D"/>
    <w:rsid w:val="00262CA2"/>
    <w:rsid w:val="00266163"/>
    <w:rsid w:val="00273544"/>
    <w:rsid w:val="0027718B"/>
    <w:rsid w:val="00277761"/>
    <w:rsid w:val="0028060F"/>
    <w:rsid w:val="00280D7D"/>
    <w:rsid w:val="00286CFF"/>
    <w:rsid w:val="002871E2"/>
    <w:rsid w:val="002916AC"/>
    <w:rsid w:val="00297144"/>
    <w:rsid w:val="002A0C00"/>
    <w:rsid w:val="002A245B"/>
    <w:rsid w:val="002A4AFF"/>
    <w:rsid w:val="002B4342"/>
    <w:rsid w:val="002B4A64"/>
    <w:rsid w:val="002B6A7F"/>
    <w:rsid w:val="002C51FD"/>
    <w:rsid w:val="002C5ED8"/>
    <w:rsid w:val="002C738B"/>
    <w:rsid w:val="002C747B"/>
    <w:rsid w:val="002D36FE"/>
    <w:rsid w:val="002D4362"/>
    <w:rsid w:val="002D575C"/>
    <w:rsid w:val="002E012D"/>
    <w:rsid w:val="002E1621"/>
    <w:rsid w:val="002E22A2"/>
    <w:rsid w:val="002E42EE"/>
    <w:rsid w:val="002E7DB1"/>
    <w:rsid w:val="002F3EC0"/>
    <w:rsid w:val="00300C35"/>
    <w:rsid w:val="003063BB"/>
    <w:rsid w:val="00306A4C"/>
    <w:rsid w:val="003072A1"/>
    <w:rsid w:val="00312EAA"/>
    <w:rsid w:val="00313191"/>
    <w:rsid w:val="003143E6"/>
    <w:rsid w:val="003167A3"/>
    <w:rsid w:val="00331FE3"/>
    <w:rsid w:val="003403EC"/>
    <w:rsid w:val="00342B12"/>
    <w:rsid w:val="003543E3"/>
    <w:rsid w:val="00354F63"/>
    <w:rsid w:val="00357ABC"/>
    <w:rsid w:val="00362F08"/>
    <w:rsid w:val="0036646C"/>
    <w:rsid w:val="00372027"/>
    <w:rsid w:val="003769EE"/>
    <w:rsid w:val="003825DF"/>
    <w:rsid w:val="0038678D"/>
    <w:rsid w:val="00390EF0"/>
    <w:rsid w:val="00391288"/>
    <w:rsid w:val="00396808"/>
    <w:rsid w:val="003A0B67"/>
    <w:rsid w:val="003A357C"/>
    <w:rsid w:val="003D7721"/>
    <w:rsid w:val="003E07C4"/>
    <w:rsid w:val="003F1018"/>
    <w:rsid w:val="003F4A10"/>
    <w:rsid w:val="003F4AE5"/>
    <w:rsid w:val="003F75F0"/>
    <w:rsid w:val="003F7B59"/>
    <w:rsid w:val="00400D66"/>
    <w:rsid w:val="0041493D"/>
    <w:rsid w:val="00415286"/>
    <w:rsid w:val="004224D4"/>
    <w:rsid w:val="004302EA"/>
    <w:rsid w:val="00430957"/>
    <w:rsid w:val="0043250A"/>
    <w:rsid w:val="00434545"/>
    <w:rsid w:val="00435480"/>
    <w:rsid w:val="00444683"/>
    <w:rsid w:val="00444999"/>
    <w:rsid w:val="00450C0A"/>
    <w:rsid w:val="00453C16"/>
    <w:rsid w:val="0045621C"/>
    <w:rsid w:val="00456267"/>
    <w:rsid w:val="00461598"/>
    <w:rsid w:val="004677D3"/>
    <w:rsid w:val="00472529"/>
    <w:rsid w:val="004727F3"/>
    <w:rsid w:val="00473DBE"/>
    <w:rsid w:val="00481FFC"/>
    <w:rsid w:val="0049020A"/>
    <w:rsid w:val="00492680"/>
    <w:rsid w:val="00494966"/>
    <w:rsid w:val="00497996"/>
    <w:rsid w:val="004A08E7"/>
    <w:rsid w:val="004A2FAD"/>
    <w:rsid w:val="004A50A6"/>
    <w:rsid w:val="004A52C0"/>
    <w:rsid w:val="004B430E"/>
    <w:rsid w:val="004C40F6"/>
    <w:rsid w:val="004D5725"/>
    <w:rsid w:val="004D7BCE"/>
    <w:rsid w:val="004F2B7E"/>
    <w:rsid w:val="00505B01"/>
    <w:rsid w:val="005117F1"/>
    <w:rsid w:val="0051631C"/>
    <w:rsid w:val="00520CEF"/>
    <w:rsid w:val="00527C3A"/>
    <w:rsid w:val="00534EE2"/>
    <w:rsid w:val="00537655"/>
    <w:rsid w:val="00537CAD"/>
    <w:rsid w:val="00542E53"/>
    <w:rsid w:val="00544134"/>
    <w:rsid w:val="00545148"/>
    <w:rsid w:val="00553591"/>
    <w:rsid w:val="00555029"/>
    <w:rsid w:val="0055634C"/>
    <w:rsid w:val="00561F1F"/>
    <w:rsid w:val="0056440B"/>
    <w:rsid w:val="00570D9B"/>
    <w:rsid w:val="0057265A"/>
    <w:rsid w:val="005764A8"/>
    <w:rsid w:val="005769C2"/>
    <w:rsid w:val="00591F16"/>
    <w:rsid w:val="005B6394"/>
    <w:rsid w:val="005B7268"/>
    <w:rsid w:val="005C254E"/>
    <w:rsid w:val="005C3A88"/>
    <w:rsid w:val="005C4DA1"/>
    <w:rsid w:val="005C6C0A"/>
    <w:rsid w:val="005D23C8"/>
    <w:rsid w:val="005D68E1"/>
    <w:rsid w:val="005D7881"/>
    <w:rsid w:val="005E1BD3"/>
    <w:rsid w:val="005E38CE"/>
    <w:rsid w:val="005E6F32"/>
    <w:rsid w:val="005F3F4B"/>
    <w:rsid w:val="0060438F"/>
    <w:rsid w:val="00605452"/>
    <w:rsid w:val="006142AA"/>
    <w:rsid w:val="0061466B"/>
    <w:rsid w:val="006173EC"/>
    <w:rsid w:val="00623A3F"/>
    <w:rsid w:val="00630989"/>
    <w:rsid w:val="0064025A"/>
    <w:rsid w:val="0064463D"/>
    <w:rsid w:val="00646632"/>
    <w:rsid w:val="00651751"/>
    <w:rsid w:val="00652493"/>
    <w:rsid w:val="006553DE"/>
    <w:rsid w:val="00662A7E"/>
    <w:rsid w:val="006645B3"/>
    <w:rsid w:val="0066561E"/>
    <w:rsid w:val="006727C7"/>
    <w:rsid w:val="0067536F"/>
    <w:rsid w:val="006830DA"/>
    <w:rsid w:val="00683D13"/>
    <w:rsid w:val="006879BD"/>
    <w:rsid w:val="0069148B"/>
    <w:rsid w:val="0069615E"/>
    <w:rsid w:val="006A6F94"/>
    <w:rsid w:val="006A74A7"/>
    <w:rsid w:val="006B082A"/>
    <w:rsid w:val="006B5676"/>
    <w:rsid w:val="006B7F26"/>
    <w:rsid w:val="006C0DD4"/>
    <w:rsid w:val="006C4F40"/>
    <w:rsid w:val="006C7FD7"/>
    <w:rsid w:val="006D0987"/>
    <w:rsid w:val="006D3529"/>
    <w:rsid w:val="006D5BF9"/>
    <w:rsid w:val="006D5DDB"/>
    <w:rsid w:val="006F125E"/>
    <w:rsid w:val="006F1A9B"/>
    <w:rsid w:val="006F4B5D"/>
    <w:rsid w:val="007030D6"/>
    <w:rsid w:val="00704713"/>
    <w:rsid w:val="00705335"/>
    <w:rsid w:val="007062A7"/>
    <w:rsid w:val="0070643A"/>
    <w:rsid w:val="00711601"/>
    <w:rsid w:val="00713012"/>
    <w:rsid w:val="00713C88"/>
    <w:rsid w:val="00714857"/>
    <w:rsid w:val="007221F1"/>
    <w:rsid w:val="00722B34"/>
    <w:rsid w:val="00723B34"/>
    <w:rsid w:val="0072547F"/>
    <w:rsid w:val="0072629E"/>
    <w:rsid w:val="00726F84"/>
    <w:rsid w:val="00732F61"/>
    <w:rsid w:val="00734D58"/>
    <w:rsid w:val="0073614F"/>
    <w:rsid w:val="0073638B"/>
    <w:rsid w:val="00736C19"/>
    <w:rsid w:val="007374BD"/>
    <w:rsid w:val="007414EC"/>
    <w:rsid w:val="00747297"/>
    <w:rsid w:val="00754F1C"/>
    <w:rsid w:val="007602D9"/>
    <w:rsid w:val="00762306"/>
    <w:rsid w:val="0076282B"/>
    <w:rsid w:val="007702F3"/>
    <w:rsid w:val="00771111"/>
    <w:rsid w:val="007768B6"/>
    <w:rsid w:val="00776C7E"/>
    <w:rsid w:val="0078184A"/>
    <w:rsid w:val="00781E56"/>
    <w:rsid w:val="0078266A"/>
    <w:rsid w:val="00787974"/>
    <w:rsid w:val="00787D1A"/>
    <w:rsid w:val="007925F7"/>
    <w:rsid w:val="00793E4F"/>
    <w:rsid w:val="007951D9"/>
    <w:rsid w:val="00797455"/>
    <w:rsid w:val="007A6752"/>
    <w:rsid w:val="007A7E02"/>
    <w:rsid w:val="007B1A6F"/>
    <w:rsid w:val="007B6C3A"/>
    <w:rsid w:val="007C1326"/>
    <w:rsid w:val="007C1F6E"/>
    <w:rsid w:val="007C2C03"/>
    <w:rsid w:val="007C72F6"/>
    <w:rsid w:val="007D01A8"/>
    <w:rsid w:val="007D0BE6"/>
    <w:rsid w:val="007D518E"/>
    <w:rsid w:val="007E12E1"/>
    <w:rsid w:val="007E1524"/>
    <w:rsid w:val="007E36BA"/>
    <w:rsid w:val="007E419C"/>
    <w:rsid w:val="007E48E4"/>
    <w:rsid w:val="007F672F"/>
    <w:rsid w:val="007F71C0"/>
    <w:rsid w:val="00800372"/>
    <w:rsid w:val="00803E90"/>
    <w:rsid w:val="00805D82"/>
    <w:rsid w:val="00807D7B"/>
    <w:rsid w:val="008108E3"/>
    <w:rsid w:val="008164BA"/>
    <w:rsid w:val="008172C9"/>
    <w:rsid w:val="00820993"/>
    <w:rsid w:val="00821414"/>
    <w:rsid w:val="008248B0"/>
    <w:rsid w:val="00827A93"/>
    <w:rsid w:val="008310AC"/>
    <w:rsid w:val="00831601"/>
    <w:rsid w:val="00833551"/>
    <w:rsid w:val="008438F4"/>
    <w:rsid w:val="00843B12"/>
    <w:rsid w:val="0084779C"/>
    <w:rsid w:val="00854582"/>
    <w:rsid w:val="008638DF"/>
    <w:rsid w:val="0086654D"/>
    <w:rsid w:val="00866DCD"/>
    <w:rsid w:val="00872AA7"/>
    <w:rsid w:val="00876288"/>
    <w:rsid w:val="008769C7"/>
    <w:rsid w:val="008932CE"/>
    <w:rsid w:val="008A0DF7"/>
    <w:rsid w:val="008A20DD"/>
    <w:rsid w:val="008B32FE"/>
    <w:rsid w:val="008B5B55"/>
    <w:rsid w:val="008C287B"/>
    <w:rsid w:val="008C411F"/>
    <w:rsid w:val="008C467D"/>
    <w:rsid w:val="008C4748"/>
    <w:rsid w:val="008C6251"/>
    <w:rsid w:val="008C6C4A"/>
    <w:rsid w:val="008D255B"/>
    <w:rsid w:val="008D7E94"/>
    <w:rsid w:val="008E1ED0"/>
    <w:rsid w:val="008E4940"/>
    <w:rsid w:val="008F5387"/>
    <w:rsid w:val="00900C2A"/>
    <w:rsid w:val="00903B60"/>
    <w:rsid w:val="00906AF4"/>
    <w:rsid w:val="00907725"/>
    <w:rsid w:val="0091244B"/>
    <w:rsid w:val="00913FF5"/>
    <w:rsid w:val="00915673"/>
    <w:rsid w:val="00920291"/>
    <w:rsid w:val="00926BE7"/>
    <w:rsid w:val="00935933"/>
    <w:rsid w:val="00936B44"/>
    <w:rsid w:val="00940558"/>
    <w:rsid w:val="00941471"/>
    <w:rsid w:val="009537FD"/>
    <w:rsid w:val="00956C09"/>
    <w:rsid w:val="0095722C"/>
    <w:rsid w:val="00961C95"/>
    <w:rsid w:val="00977730"/>
    <w:rsid w:val="00980359"/>
    <w:rsid w:val="00981391"/>
    <w:rsid w:val="00982E99"/>
    <w:rsid w:val="00987E16"/>
    <w:rsid w:val="00990B2F"/>
    <w:rsid w:val="00996B56"/>
    <w:rsid w:val="009A4C04"/>
    <w:rsid w:val="009B5FEC"/>
    <w:rsid w:val="009C0488"/>
    <w:rsid w:val="009C613A"/>
    <w:rsid w:val="009D0551"/>
    <w:rsid w:val="009D351F"/>
    <w:rsid w:val="009E4971"/>
    <w:rsid w:val="009E58BB"/>
    <w:rsid w:val="009F3F1D"/>
    <w:rsid w:val="00A0175B"/>
    <w:rsid w:val="00A107FF"/>
    <w:rsid w:val="00A10C38"/>
    <w:rsid w:val="00A11BFF"/>
    <w:rsid w:val="00A11E99"/>
    <w:rsid w:val="00A12B1E"/>
    <w:rsid w:val="00A1520C"/>
    <w:rsid w:val="00A34B74"/>
    <w:rsid w:val="00A35B27"/>
    <w:rsid w:val="00A35BD7"/>
    <w:rsid w:val="00A51F05"/>
    <w:rsid w:val="00A6194B"/>
    <w:rsid w:val="00A651C9"/>
    <w:rsid w:val="00A72435"/>
    <w:rsid w:val="00A7262D"/>
    <w:rsid w:val="00A75DB5"/>
    <w:rsid w:val="00A776E2"/>
    <w:rsid w:val="00A859C8"/>
    <w:rsid w:val="00A85FDA"/>
    <w:rsid w:val="00A86863"/>
    <w:rsid w:val="00A939EA"/>
    <w:rsid w:val="00A97538"/>
    <w:rsid w:val="00A9772C"/>
    <w:rsid w:val="00AA2D9A"/>
    <w:rsid w:val="00AB6428"/>
    <w:rsid w:val="00AC00A9"/>
    <w:rsid w:val="00AC1338"/>
    <w:rsid w:val="00AC15A3"/>
    <w:rsid w:val="00AC4E99"/>
    <w:rsid w:val="00AC5849"/>
    <w:rsid w:val="00AC6636"/>
    <w:rsid w:val="00AC66AA"/>
    <w:rsid w:val="00AC7D73"/>
    <w:rsid w:val="00AD37CA"/>
    <w:rsid w:val="00AD3AD8"/>
    <w:rsid w:val="00AD65B1"/>
    <w:rsid w:val="00AE0A68"/>
    <w:rsid w:val="00AE6729"/>
    <w:rsid w:val="00AE793A"/>
    <w:rsid w:val="00AF548E"/>
    <w:rsid w:val="00B01EDA"/>
    <w:rsid w:val="00B0389A"/>
    <w:rsid w:val="00B06CF8"/>
    <w:rsid w:val="00B160DC"/>
    <w:rsid w:val="00B22822"/>
    <w:rsid w:val="00B24794"/>
    <w:rsid w:val="00B32F6B"/>
    <w:rsid w:val="00B36816"/>
    <w:rsid w:val="00B36B0B"/>
    <w:rsid w:val="00B42D84"/>
    <w:rsid w:val="00B4369B"/>
    <w:rsid w:val="00B50D0E"/>
    <w:rsid w:val="00B54338"/>
    <w:rsid w:val="00B56B08"/>
    <w:rsid w:val="00B5771A"/>
    <w:rsid w:val="00B601AB"/>
    <w:rsid w:val="00B60EDF"/>
    <w:rsid w:val="00B61645"/>
    <w:rsid w:val="00B650CA"/>
    <w:rsid w:val="00B66B99"/>
    <w:rsid w:val="00B74B52"/>
    <w:rsid w:val="00B805C5"/>
    <w:rsid w:val="00B82BAA"/>
    <w:rsid w:val="00B84AA1"/>
    <w:rsid w:val="00B91956"/>
    <w:rsid w:val="00B93EF4"/>
    <w:rsid w:val="00B96127"/>
    <w:rsid w:val="00BA6DDA"/>
    <w:rsid w:val="00BA7A18"/>
    <w:rsid w:val="00BA7A64"/>
    <w:rsid w:val="00BB243E"/>
    <w:rsid w:val="00BB2A33"/>
    <w:rsid w:val="00BC0D40"/>
    <w:rsid w:val="00BC2C27"/>
    <w:rsid w:val="00BD46FF"/>
    <w:rsid w:val="00BD5A84"/>
    <w:rsid w:val="00BD6DC3"/>
    <w:rsid w:val="00BE0753"/>
    <w:rsid w:val="00BE246F"/>
    <w:rsid w:val="00BE7A6A"/>
    <w:rsid w:val="00BF42A3"/>
    <w:rsid w:val="00BF5547"/>
    <w:rsid w:val="00BF7777"/>
    <w:rsid w:val="00BF7946"/>
    <w:rsid w:val="00C057F2"/>
    <w:rsid w:val="00C06AAF"/>
    <w:rsid w:val="00C1027E"/>
    <w:rsid w:val="00C108A2"/>
    <w:rsid w:val="00C121B9"/>
    <w:rsid w:val="00C14962"/>
    <w:rsid w:val="00C14B4E"/>
    <w:rsid w:val="00C164F2"/>
    <w:rsid w:val="00C2007A"/>
    <w:rsid w:val="00C250CA"/>
    <w:rsid w:val="00C36122"/>
    <w:rsid w:val="00C417CA"/>
    <w:rsid w:val="00C51301"/>
    <w:rsid w:val="00C544AB"/>
    <w:rsid w:val="00C70296"/>
    <w:rsid w:val="00C74547"/>
    <w:rsid w:val="00C75B01"/>
    <w:rsid w:val="00C80DE1"/>
    <w:rsid w:val="00C83125"/>
    <w:rsid w:val="00C83E88"/>
    <w:rsid w:val="00C84C52"/>
    <w:rsid w:val="00C86217"/>
    <w:rsid w:val="00C879F9"/>
    <w:rsid w:val="00C92861"/>
    <w:rsid w:val="00C95E91"/>
    <w:rsid w:val="00CA1AFF"/>
    <w:rsid w:val="00CA21C1"/>
    <w:rsid w:val="00CA5108"/>
    <w:rsid w:val="00CA5AAB"/>
    <w:rsid w:val="00CA6D50"/>
    <w:rsid w:val="00CA7456"/>
    <w:rsid w:val="00CB01B6"/>
    <w:rsid w:val="00CB1B29"/>
    <w:rsid w:val="00CB6CB2"/>
    <w:rsid w:val="00CC085B"/>
    <w:rsid w:val="00CC2604"/>
    <w:rsid w:val="00CC4D8B"/>
    <w:rsid w:val="00CD2B34"/>
    <w:rsid w:val="00CD33B1"/>
    <w:rsid w:val="00CE166B"/>
    <w:rsid w:val="00CE76DC"/>
    <w:rsid w:val="00CE7AF4"/>
    <w:rsid w:val="00CF0396"/>
    <w:rsid w:val="00CF0CC1"/>
    <w:rsid w:val="00D1107B"/>
    <w:rsid w:val="00D131F5"/>
    <w:rsid w:val="00D137D7"/>
    <w:rsid w:val="00D13AF1"/>
    <w:rsid w:val="00D1690C"/>
    <w:rsid w:val="00D20597"/>
    <w:rsid w:val="00D213B0"/>
    <w:rsid w:val="00D217DB"/>
    <w:rsid w:val="00D23A17"/>
    <w:rsid w:val="00D271F7"/>
    <w:rsid w:val="00D306E3"/>
    <w:rsid w:val="00D33360"/>
    <w:rsid w:val="00D3372A"/>
    <w:rsid w:val="00D34718"/>
    <w:rsid w:val="00D35DC6"/>
    <w:rsid w:val="00D367E2"/>
    <w:rsid w:val="00D377D6"/>
    <w:rsid w:val="00D37AEB"/>
    <w:rsid w:val="00D40B0C"/>
    <w:rsid w:val="00D43DAC"/>
    <w:rsid w:val="00D5111C"/>
    <w:rsid w:val="00D53809"/>
    <w:rsid w:val="00D54516"/>
    <w:rsid w:val="00D64136"/>
    <w:rsid w:val="00D67848"/>
    <w:rsid w:val="00D7304A"/>
    <w:rsid w:val="00D7528A"/>
    <w:rsid w:val="00D82637"/>
    <w:rsid w:val="00D95B92"/>
    <w:rsid w:val="00D9689F"/>
    <w:rsid w:val="00DA2964"/>
    <w:rsid w:val="00DA3588"/>
    <w:rsid w:val="00DB6508"/>
    <w:rsid w:val="00DC555C"/>
    <w:rsid w:val="00DD0434"/>
    <w:rsid w:val="00DD0D31"/>
    <w:rsid w:val="00DD2A3D"/>
    <w:rsid w:val="00DD3F64"/>
    <w:rsid w:val="00DD50FA"/>
    <w:rsid w:val="00DE616E"/>
    <w:rsid w:val="00DE65AC"/>
    <w:rsid w:val="00DF11CA"/>
    <w:rsid w:val="00DF650C"/>
    <w:rsid w:val="00E07447"/>
    <w:rsid w:val="00E11629"/>
    <w:rsid w:val="00E153F3"/>
    <w:rsid w:val="00E165B5"/>
    <w:rsid w:val="00E201ED"/>
    <w:rsid w:val="00E256DF"/>
    <w:rsid w:val="00E2696E"/>
    <w:rsid w:val="00E30396"/>
    <w:rsid w:val="00E32A3B"/>
    <w:rsid w:val="00E377C8"/>
    <w:rsid w:val="00E45EBF"/>
    <w:rsid w:val="00E464C2"/>
    <w:rsid w:val="00E47063"/>
    <w:rsid w:val="00E4718E"/>
    <w:rsid w:val="00E50843"/>
    <w:rsid w:val="00E5111E"/>
    <w:rsid w:val="00E573D0"/>
    <w:rsid w:val="00E6078E"/>
    <w:rsid w:val="00E63F78"/>
    <w:rsid w:val="00E64670"/>
    <w:rsid w:val="00E72EC0"/>
    <w:rsid w:val="00E7703B"/>
    <w:rsid w:val="00E774ED"/>
    <w:rsid w:val="00E807C3"/>
    <w:rsid w:val="00E85D04"/>
    <w:rsid w:val="00E87794"/>
    <w:rsid w:val="00E87E8A"/>
    <w:rsid w:val="00E90278"/>
    <w:rsid w:val="00E95BBF"/>
    <w:rsid w:val="00E966EB"/>
    <w:rsid w:val="00E96786"/>
    <w:rsid w:val="00EA42A7"/>
    <w:rsid w:val="00EA4A3D"/>
    <w:rsid w:val="00EA5FE1"/>
    <w:rsid w:val="00EB16A8"/>
    <w:rsid w:val="00EB1E6F"/>
    <w:rsid w:val="00EB6AF5"/>
    <w:rsid w:val="00EC4C60"/>
    <w:rsid w:val="00ED011E"/>
    <w:rsid w:val="00EE0917"/>
    <w:rsid w:val="00EE2892"/>
    <w:rsid w:val="00F0745B"/>
    <w:rsid w:val="00F16842"/>
    <w:rsid w:val="00F17433"/>
    <w:rsid w:val="00F20108"/>
    <w:rsid w:val="00F22CB2"/>
    <w:rsid w:val="00F2587F"/>
    <w:rsid w:val="00F2675D"/>
    <w:rsid w:val="00F31232"/>
    <w:rsid w:val="00F42444"/>
    <w:rsid w:val="00F510B6"/>
    <w:rsid w:val="00F5360A"/>
    <w:rsid w:val="00F5481D"/>
    <w:rsid w:val="00F549F4"/>
    <w:rsid w:val="00F56691"/>
    <w:rsid w:val="00F56FBC"/>
    <w:rsid w:val="00F60E0F"/>
    <w:rsid w:val="00F611D0"/>
    <w:rsid w:val="00F614C5"/>
    <w:rsid w:val="00F638A3"/>
    <w:rsid w:val="00F643CC"/>
    <w:rsid w:val="00F72A8E"/>
    <w:rsid w:val="00F87DCC"/>
    <w:rsid w:val="00F95F7D"/>
    <w:rsid w:val="00FB4E47"/>
    <w:rsid w:val="00FB6005"/>
    <w:rsid w:val="00FC0229"/>
    <w:rsid w:val="00FC2B4B"/>
    <w:rsid w:val="00FD61E1"/>
    <w:rsid w:val="00FE0C78"/>
    <w:rsid w:val="00FF2367"/>
    <w:rsid w:val="00FF569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DB3F7-DEEB-4564-8529-45A2833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91"/>
    <w:pPr>
      <w:widowControl w:val="0"/>
    </w:pPr>
  </w:style>
  <w:style w:type="paragraph" w:styleId="1">
    <w:name w:val="heading 1"/>
    <w:basedOn w:val="a"/>
    <w:next w:val="a"/>
    <w:link w:val="10"/>
    <w:qFormat/>
    <w:rsid w:val="00AE6729"/>
    <w:pPr>
      <w:keepNext/>
      <w:numPr>
        <w:numId w:val="1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DC3"/>
    <w:pPr>
      <w:ind w:leftChars="200" w:left="480"/>
    </w:pPr>
  </w:style>
  <w:style w:type="paragraph" w:styleId="3">
    <w:name w:val="Body Text Indent 3"/>
    <w:basedOn w:val="a"/>
    <w:link w:val="30"/>
    <w:semiHidden/>
    <w:unhideWhenUsed/>
    <w:rsid w:val="00793E4F"/>
    <w:pPr>
      <w:spacing w:line="480" w:lineRule="exact"/>
      <w:ind w:left="1400" w:hangingChars="500" w:hanging="1400"/>
    </w:pPr>
    <w:rPr>
      <w:rFonts w:ascii="新細明體" w:eastAsia="新細明體" w:hAnsi="新細明體" w:cs="Times New Roman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793E4F"/>
    <w:rPr>
      <w:rFonts w:ascii="新細明體" w:eastAsia="新細明體" w:hAnsi="新細明體" w:cs="Times New Roman"/>
      <w:sz w:val="28"/>
      <w:szCs w:val="24"/>
    </w:rPr>
  </w:style>
  <w:style w:type="table" w:styleId="a5">
    <w:name w:val="Table Grid"/>
    <w:basedOn w:val="a1"/>
    <w:uiPriority w:val="59"/>
    <w:rsid w:val="002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C70296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C70296"/>
  </w:style>
  <w:style w:type="paragraph" w:styleId="a8">
    <w:name w:val="header"/>
    <w:basedOn w:val="a"/>
    <w:link w:val="a9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4E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4E47"/>
    <w:rPr>
      <w:sz w:val="20"/>
      <w:szCs w:val="20"/>
    </w:rPr>
  </w:style>
  <w:style w:type="table" w:styleId="2-1">
    <w:name w:val="Medium List 2 Accent 1"/>
    <w:basedOn w:val="a1"/>
    <w:uiPriority w:val="66"/>
    <w:rsid w:val="00453C1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DC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C55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C555C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C55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555C"/>
    <w:rPr>
      <w:vertAlign w:val="superscript"/>
    </w:rPr>
  </w:style>
  <w:style w:type="character" w:customStyle="1" w:styleId="10">
    <w:name w:val="標題 1 字元"/>
    <w:basedOn w:val="a0"/>
    <w:link w:val="1"/>
    <w:rsid w:val="00AE6729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AE6729"/>
  </w:style>
  <w:style w:type="paragraph" w:styleId="af1">
    <w:name w:val="caption"/>
    <w:basedOn w:val="a"/>
    <w:next w:val="a"/>
    <w:uiPriority w:val="35"/>
    <w:unhideWhenUsed/>
    <w:qFormat/>
    <w:rsid w:val="007C1F6E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916AC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916AC"/>
  </w:style>
  <w:style w:type="paragraph" w:styleId="Web">
    <w:name w:val="Normal (Web)"/>
    <w:basedOn w:val="a"/>
    <w:uiPriority w:val="99"/>
    <w:unhideWhenUsed/>
    <w:rsid w:val="00A1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0B2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stand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fbfh.trade.gov.tw/rich/text/indexfbOL.as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i\Box%20Sync\ITRI\1.&#32160;&#33394;&#36031;&#26131;\1.&#20225;&#26989;&#20491;&#26696;\1.&#24288;&#21830;\&#31721;&#36984;&#21407;&#21063;-&#20225;&#26989;&#20491;&#26696;\104&#24180;&#24230;\&#32160;&#33394;&#20142;&#40670;&#34913;&#373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'綠色亮點衡量 (NEW)'!$D$4</c:f>
              <c:strCache>
                <c:ptCount val="1"/>
                <c:pt idx="0">
                  <c:v>企業</c:v>
                </c:pt>
              </c:strCache>
            </c:strRef>
          </c:tx>
          <c:marker>
            <c:symbol val="none"/>
          </c:marker>
          <c:cat>
            <c:strRef>
              <c:f>'綠色亮點衡量 (NEW)'!$E$3:$I$3</c:f>
              <c:strCache>
                <c:ptCount val="5"/>
                <c:pt idx="0">
                  <c:v>競爭力面</c:v>
                </c:pt>
                <c:pt idx="1">
                  <c:v>品牌面</c:v>
                </c:pt>
                <c:pt idx="2">
                  <c:v>市場面</c:v>
                </c:pt>
                <c:pt idx="3">
                  <c:v>行銷工具面</c:v>
                </c:pt>
                <c:pt idx="4">
                  <c:v>業務推廣面</c:v>
                </c:pt>
              </c:strCache>
            </c:strRef>
          </c:cat>
          <c:val>
            <c:numRef>
              <c:f>'綠色亮點衡量 (NEW)'!$E$4:$I$4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4259936"/>
        <c:axId val="434258368"/>
      </c:radarChart>
      <c:catAx>
        <c:axId val="4342599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434258368"/>
        <c:crosses val="autoZero"/>
        <c:auto val="1"/>
        <c:lblAlgn val="ctr"/>
        <c:lblOffset val="100"/>
        <c:noMultiLvlLbl val="0"/>
      </c:catAx>
      <c:valAx>
        <c:axId val="434258368"/>
        <c:scaling>
          <c:orientation val="minMax"/>
          <c:max val="5"/>
          <c:min val="0"/>
        </c:scaling>
        <c:delete val="0"/>
        <c:axPos val="l"/>
        <c:majorGridlines/>
        <c:numFmt formatCode="#,##0.0;[Red]#,##0.0" sourceLinked="0"/>
        <c:majorTickMark val="cross"/>
        <c:minorTickMark val="none"/>
        <c:tickLblPos val="nextTo"/>
        <c:crossAx val="43425993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C615-0EA7-4491-BD4A-A25E94A6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</dc:creator>
  <cp:lastModifiedBy>sunny</cp:lastModifiedBy>
  <cp:revision>2</cp:revision>
  <cp:lastPrinted>2015-03-13T07:17:00Z</cp:lastPrinted>
  <dcterms:created xsi:type="dcterms:W3CDTF">2016-03-04T04:26:00Z</dcterms:created>
  <dcterms:modified xsi:type="dcterms:W3CDTF">2016-03-04T04:26:00Z</dcterms:modified>
</cp:coreProperties>
</file>